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40693477"/>
        <w:docPartObj>
          <w:docPartGallery w:val="Cover Pages"/>
          <w:docPartUnique/>
        </w:docPartObj>
      </w:sdtPr>
      <w:sdtEndPr/>
      <w:sdtContent>
        <w:p w:rsidR="003413E3" w:rsidRDefault="003413E3" w:rsidP="005760DB">
          <w:pPr>
            <w:sectPr w:rsidR="003413E3" w:rsidSect="003413E3">
              <w:footerReference w:type="default" r:id="rId9"/>
              <w:headerReference w:type="first" r:id="rId10"/>
              <w:footerReference w:type="first" r:id="rId11"/>
              <w:pgSz w:w="11906" w:h="16838" w:code="9"/>
              <w:pgMar w:top="1440" w:right="1440" w:bottom="1440" w:left="1440" w:header="720" w:footer="720" w:gutter="0"/>
              <w:pgNumType w:start="0"/>
              <w:cols w:space="708"/>
              <w:titlePg/>
              <w:docGrid w:linePitch="360"/>
            </w:sectPr>
          </w:pPr>
          <w:r>
            <w:rPr>
              <w:noProof/>
              <w:lang w:eastAsia="en-GB"/>
            </w:rPr>
            <mc:AlternateContent>
              <mc:Choice Requires="wps">
                <w:drawing>
                  <wp:anchor distT="0" distB="0" distL="114300" distR="114300" simplePos="0" relativeHeight="251682816" behindDoc="0" locked="0" layoutInCell="1" allowOverlap="1" wp14:anchorId="2FB0A572" wp14:editId="5633E1B6">
                    <wp:simplePos x="0" y="0"/>
                    <wp:positionH relativeFrom="margin">
                      <wp:align>center</wp:align>
                    </wp:positionH>
                    <wp:positionV relativeFrom="paragraph">
                      <wp:posOffset>1408557</wp:posOffset>
                    </wp:positionV>
                    <wp:extent cx="6797040" cy="1058832"/>
                    <wp:effectExtent l="0" t="0" r="0" b="0"/>
                    <wp:wrapNone/>
                    <wp:docPr id="24" name="TextBox 9"/>
                    <wp:cNvGraphicFramePr/>
                    <a:graphic xmlns:a="http://schemas.openxmlformats.org/drawingml/2006/main">
                      <a:graphicData uri="http://schemas.microsoft.com/office/word/2010/wordprocessingShape">
                        <wps:wsp>
                          <wps:cNvSpPr txBox="1"/>
                          <wps:spPr>
                            <a:xfrm>
                              <a:off x="0" y="0"/>
                              <a:ext cx="6797040" cy="1058832"/>
                            </a:xfrm>
                            <a:prstGeom prst="rect">
                              <a:avLst/>
                            </a:prstGeom>
                            <a:noFill/>
                          </wps:spPr>
                          <wps:txbx>
                            <w:txbxContent>
                              <w:p w:rsidR="003413E3" w:rsidRPr="00BD0113" w:rsidRDefault="003413E3" w:rsidP="003413E3">
                                <w:pPr>
                                  <w:pStyle w:val="Title"/>
                                </w:pPr>
                                <w:r w:rsidRPr="00BD0113">
                                  <w:t xml:space="preserve">EMPLOYABILITY </w:t>
                                </w:r>
                                <w:r>
                                  <w:t>SERVICE STANDARDS</w:t>
                                </w:r>
                              </w:p>
                            </w:txbxContent>
                          </wps:txbx>
                          <wps:bodyPr wrap="square" rtlCol="0">
                            <a:noAutofit/>
                          </wps:bodyPr>
                        </wps:wsp>
                      </a:graphicData>
                    </a:graphic>
                  </wp:anchor>
                </w:drawing>
              </mc:Choice>
              <mc:Fallback>
                <w:pict>
                  <v:shapetype w14:anchorId="2FB0A572" id="_x0000_t202" coordsize="21600,21600" o:spt="202" path="m,l,21600r21600,l21600,xe">
                    <v:stroke joinstyle="miter"/>
                    <v:path gradientshapeok="t" o:connecttype="rect"/>
                  </v:shapetype>
                  <v:shape id="TextBox 9" o:spid="_x0000_s1026" type="#_x0000_t202" style="position:absolute;margin-left:0;margin-top:110.9pt;width:535.2pt;height:83.35pt;z-index:2516828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" filled="f" stroked="f">
                    <v:textbox>
                      <w:txbxContent>
                        <w:p w:rsidR="003413E3" w:rsidRPr="00BD0113" w:rsidRDefault="003413E3" w:rsidP="003413E3">
                          <w:pPr>
                            <w:pStyle w:val="Title"/>
                          </w:pPr>
                          <w:r w:rsidRPr="00BD0113">
                            <w:t xml:space="preserve">EMPLOYABILITY </w:t>
                          </w:r>
                          <w:r>
                            <w:t>SERVICE STANDARDS</w:t>
                          </w:r>
                        </w:p>
                      </w:txbxContent>
                    </v:textbox>
                    <w10:wrap anchorx="margin"/>
                  </v:shape>
                </w:pict>
              </mc:Fallback>
            </mc:AlternateContent>
          </w:r>
          <w:r>
            <w:rPr>
              <w:noProof/>
              <w:lang w:eastAsia="en-GB"/>
            </w:rPr>
            <w:drawing>
              <wp:anchor distT="0" distB="0" distL="114300" distR="114300" simplePos="0" relativeHeight="251679744" behindDoc="0" locked="0" layoutInCell="1" allowOverlap="1" wp14:anchorId="0BB96F5C" wp14:editId="03DA08E5">
                <wp:simplePos x="0" y="0"/>
                <wp:positionH relativeFrom="column">
                  <wp:posOffset>-904826</wp:posOffset>
                </wp:positionH>
                <wp:positionV relativeFrom="paragraph">
                  <wp:posOffset>-917624</wp:posOffset>
                </wp:positionV>
                <wp:extent cx="7628890" cy="10783570"/>
                <wp:effectExtent l="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2">
                          <a:extLst>
                            <a:ext uri="{28A0092B-C50C-407E-A947-70E740481C1C}">
                              <a14:useLocalDpi xmlns:a14="http://schemas.microsoft.com/office/drawing/2010/main" val="0"/>
                            </a:ext>
                          </a:extLst>
                        </a:blip>
                        <a:stretch>
                          <a:fillRect/>
                        </a:stretch>
                      </pic:blipFill>
                      <pic:spPr bwMode="auto">
                        <a:xfrm>
                          <a:off x="0" y="0"/>
                          <a:ext cx="7628890" cy="10783570"/>
                        </a:xfrm>
                        <a:prstGeom prst="rect">
                          <a:avLst/>
                        </a:prstGeom>
                        <a:noFill/>
                      </pic:spPr>
                    </pic:pic>
                  </a:graphicData>
                </a:graphic>
              </wp:anchor>
            </w:drawing>
          </w:r>
        </w:p>
        <w:p w:rsidR="005760DB" w:rsidRPr="005A35B2" w:rsidRDefault="00B558AE" w:rsidP="005760DB"/>
      </w:sdtContent>
    </w:sdt>
    <w:sdt>
      <w:sdtPr>
        <w:rPr>
          <w:rFonts w:ascii="Arial" w:eastAsia="Times New Roman" w:hAnsi="Arial" w:cs="Times New Roman"/>
          <w:color w:val="auto"/>
          <w:sz w:val="24"/>
          <w:szCs w:val="20"/>
          <w:lang w:val="en-GB"/>
        </w:rPr>
        <w:id w:val="505561221"/>
        <w:docPartObj>
          <w:docPartGallery w:val="Table of Contents"/>
          <w:docPartUnique/>
        </w:docPartObj>
      </w:sdtPr>
      <w:sdtEndPr>
        <w:rPr>
          <w:b/>
          <w:bCs/>
          <w:noProof/>
        </w:rPr>
      </w:sdtEndPr>
      <w:sdtContent>
        <w:p w:rsidR="00126DA2" w:rsidRPr="005A35B2" w:rsidRDefault="00126DA2">
          <w:pPr>
            <w:pStyle w:val="TOCHeading"/>
          </w:pPr>
          <w:r w:rsidRPr="005A35B2">
            <w:t>Table of Contents</w:t>
          </w:r>
        </w:p>
        <w:p w:rsidR="00E7721B" w:rsidRPr="005A35B2" w:rsidRDefault="00E7721B" w:rsidP="00E7721B">
          <w:pPr>
            <w:rPr>
              <w:lang w:val="en-US"/>
            </w:rPr>
          </w:pPr>
        </w:p>
        <w:p w:rsidR="008337D8" w:rsidRPr="005A35B2" w:rsidRDefault="00126DA2">
          <w:pPr>
            <w:pStyle w:val="TOC1"/>
            <w:tabs>
              <w:tab w:val="left" w:pos="440"/>
              <w:tab w:val="right" w:leader="dot" w:pos="13948"/>
            </w:tabs>
            <w:rPr>
              <w:rFonts w:asciiTheme="minorHAnsi" w:eastAsiaTheme="minorEastAsia" w:hAnsiTheme="minorHAnsi" w:cstheme="minorBidi"/>
              <w:noProof/>
              <w:sz w:val="22"/>
              <w:szCs w:val="22"/>
              <w:lang w:eastAsia="en-GB"/>
            </w:rPr>
          </w:pPr>
          <w:r w:rsidRPr="005A35B2">
            <w:fldChar w:fldCharType="begin"/>
          </w:r>
          <w:r w:rsidRPr="005A35B2">
            <w:instrText xml:space="preserve"> TOC \o "1-3" \h \z \u </w:instrText>
          </w:r>
          <w:r w:rsidRPr="005A35B2">
            <w:fldChar w:fldCharType="separate"/>
          </w:r>
          <w:hyperlink w:anchor="_Toc88227464" w:history="1">
            <w:r w:rsidR="008337D8" w:rsidRPr="005A35B2">
              <w:rPr>
                <w:rStyle w:val="Hyperlink"/>
                <w:b/>
                <w:noProof/>
              </w:rPr>
              <w:t>1.</w:t>
            </w:r>
            <w:r w:rsidR="008337D8" w:rsidRPr="005A35B2">
              <w:rPr>
                <w:rFonts w:asciiTheme="minorHAnsi" w:eastAsiaTheme="minorEastAsia" w:hAnsiTheme="minorHAnsi" w:cstheme="minorBidi"/>
                <w:noProof/>
                <w:sz w:val="22"/>
                <w:szCs w:val="22"/>
                <w:lang w:eastAsia="en-GB"/>
              </w:rPr>
              <w:tab/>
            </w:r>
            <w:r w:rsidR="008337D8" w:rsidRPr="005A35B2">
              <w:rPr>
                <w:rStyle w:val="Hyperlink"/>
                <w:b/>
                <w:noProof/>
              </w:rPr>
              <w:t>Introduction</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_Toc88227464 \h </w:instrText>
            </w:r>
            <w:r w:rsidR="008337D8" w:rsidRPr="005A35B2">
              <w:rPr>
                <w:noProof/>
                <w:webHidden/>
              </w:rPr>
            </w:r>
            <w:r w:rsidR="008337D8" w:rsidRPr="005A35B2">
              <w:rPr>
                <w:noProof/>
                <w:webHidden/>
              </w:rPr>
              <w:fldChar w:fldCharType="separate"/>
            </w:r>
            <w:r w:rsidR="003413E3">
              <w:rPr>
                <w:noProof/>
                <w:webHidden/>
              </w:rPr>
              <w:t>1</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65" w:history="1">
            <w:r w:rsidR="008337D8" w:rsidRPr="005A35B2">
              <w:rPr>
                <w:rStyle w:val="Hyperlink"/>
                <w:noProof/>
              </w:rPr>
              <w:t>Why do we need these Standards?</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_Toc88227465 \h </w:instrText>
            </w:r>
            <w:r w:rsidR="008337D8" w:rsidRPr="005A35B2">
              <w:rPr>
                <w:noProof/>
                <w:webHidden/>
              </w:rPr>
            </w:r>
            <w:r w:rsidR="008337D8" w:rsidRPr="005A35B2">
              <w:rPr>
                <w:noProof/>
                <w:webHidden/>
              </w:rPr>
              <w:fldChar w:fldCharType="separate"/>
            </w:r>
            <w:r w:rsidR="003413E3">
              <w:rPr>
                <w:noProof/>
                <w:webHidden/>
              </w:rPr>
              <w:t>3</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66" w:history="1">
            <w:r w:rsidR="008337D8" w:rsidRPr="005A35B2">
              <w:rPr>
                <w:rStyle w:val="Hyperlink"/>
                <w:noProof/>
              </w:rPr>
              <w:t>Who has helped us develop these Standards?</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_Toc88227466 \h </w:instrText>
            </w:r>
            <w:r w:rsidR="008337D8" w:rsidRPr="005A35B2">
              <w:rPr>
                <w:noProof/>
                <w:webHidden/>
              </w:rPr>
            </w:r>
            <w:r w:rsidR="008337D8" w:rsidRPr="005A35B2">
              <w:rPr>
                <w:noProof/>
                <w:webHidden/>
              </w:rPr>
              <w:fldChar w:fldCharType="separate"/>
            </w:r>
            <w:r w:rsidR="003413E3">
              <w:rPr>
                <w:noProof/>
                <w:webHidden/>
              </w:rPr>
              <w:t>3</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67" w:history="1">
            <w:r w:rsidR="008337D8" w:rsidRPr="005A35B2">
              <w:rPr>
                <w:rStyle w:val="Hyperlink"/>
                <w:noProof/>
              </w:rPr>
              <w:t>Building on the evidence base</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_Toc88227467 \h </w:instrText>
            </w:r>
            <w:r w:rsidR="008337D8" w:rsidRPr="005A35B2">
              <w:rPr>
                <w:noProof/>
                <w:webHidden/>
              </w:rPr>
            </w:r>
            <w:r w:rsidR="008337D8" w:rsidRPr="005A35B2">
              <w:rPr>
                <w:noProof/>
                <w:webHidden/>
              </w:rPr>
              <w:fldChar w:fldCharType="separate"/>
            </w:r>
            <w:r w:rsidR="003413E3">
              <w:rPr>
                <w:noProof/>
                <w:webHidden/>
              </w:rPr>
              <w:t>4</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68" w:history="1">
            <w:r w:rsidR="008337D8" w:rsidRPr="005A35B2">
              <w:rPr>
                <w:rStyle w:val="Hyperlink"/>
                <w:noProof/>
              </w:rPr>
              <w:t>Understanding how these Standards are implemented</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_Toc88227468 \h </w:instrText>
            </w:r>
            <w:r w:rsidR="008337D8" w:rsidRPr="005A35B2">
              <w:rPr>
                <w:noProof/>
                <w:webHidden/>
              </w:rPr>
            </w:r>
            <w:r w:rsidR="008337D8" w:rsidRPr="005A35B2">
              <w:rPr>
                <w:noProof/>
                <w:webHidden/>
              </w:rPr>
              <w:fldChar w:fldCharType="separate"/>
            </w:r>
            <w:r w:rsidR="003413E3">
              <w:rPr>
                <w:noProof/>
                <w:webHidden/>
              </w:rPr>
              <w:t>4</w:t>
            </w:r>
            <w:r w:rsidR="008337D8" w:rsidRPr="005A35B2">
              <w:rPr>
                <w:noProof/>
                <w:webHidden/>
              </w:rPr>
              <w:fldChar w:fldCharType="end"/>
            </w:r>
          </w:hyperlink>
        </w:p>
        <w:p w:rsidR="008337D8" w:rsidRPr="005A35B2" w:rsidRDefault="00B558AE">
          <w:pPr>
            <w:pStyle w:val="TOC1"/>
            <w:tabs>
              <w:tab w:val="left" w:pos="440"/>
              <w:tab w:val="right" w:leader="dot" w:pos="13948"/>
            </w:tabs>
            <w:rPr>
              <w:rFonts w:asciiTheme="minorHAnsi" w:eastAsiaTheme="minorEastAsia" w:hAnsiTheme="minorHAnsi" w:cstheme="minorBidi"/>
              <w:noProof/>
              <w:sz w:val="22"/>
              <w:szCs w:val="22"/>
              <w:lang w:eastAsia="en-GB"/>
            </w:rPr>
          </w:pPr>
          <w:hyperlink w:anchor="_Toc88227469" w:history="1">
            <w:r w:rsidR="008337D8" w:rsidRPr="005A35B2">
              <w:rPr>
                <w:rStyle w:val="Hyperlink"/>
                <w:b/>
                <w:noProof/>
              </w:rPr>
              <w:t>2.</w:t>
            </w:r>
            <w:r w:rsidR="008337D8" w:rsidRPr="005A35B2">
              <w:rPr>
                <w:rFonts w:asciiTheme="minorHAnsi" w:eastAsiaTheme="minorEastAsia" w:hAnsiTheme="minorHAnsi" w:cstheme="minorBidi"/>
                <w:noProof/>
                <w:sz w:val="22"/>
                <w:szCs w:val="22"/>
                <w:lang w:eastAsia="en-GB"/>
              </w:rPr>
              <w:tab/>
            </w:r>
            <w:r w:rsidR="008337D8" w:rsidRPr="005A35B2">
              <w:rPr>
                <w:rStyle w:val="Hyperlink"/>
                <w:b/>
                <w:noProof/>
              </w:rPr>
              <w:t>The Standards</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_Toc88227469 \h </w:instrText>
            </w:r>
            <w:r w:rsidR="008337D8" w:rsidRPr="005A35B2">
              <w:rPr>
                <w:noProof/>
                <w:webHidden/>
              </w:rPr>
            </w:r>
            <w:r w:rsidR="008337D8" w:rsidRPr="005A35B2">
              <w:rPr>
                <w:noProof/>
                <w:webHidden/>
              </w:rPr>
              <w:fldChar w:fldCharType="separate"/>
            </w:r>
            <w:r w:rsidR="003413E3">
              <w:rPr>
                <w:noProof/>
                <w:webHidden/>
              </w:rPr>
              <w:t>5</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70" w:history="1">
            <w:r w:rsidR="008337D8" w:rsidRPr="005A35B2">
              <w:rPr>
                <w:rStyle w:val="Hyperlink"/>
                <w:noProof/>
              </w:rPr>
              <w:t>Standard 1 - Our services work for users</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_Toc88227470 \h </w:instrText>
            </w:r>
            <w:r w:rsidR="008337D8" w:rsidRPr="005A35B2">
              <w:rPr>
                <w:noProof/>
                <w:webHidden/>
              </w:rPr>
            </w:r>
            <w:r w:rsidR="008337D8" w:rsidRPr="005A35B2">
              <w:rPr>
                <w:noProof/>
                <w:webHidden/>
              </w:rPr>
              <w:fldChar w:fldCharType="separate"/>
            </w:r>
            <w:r w:rsidR="003413E3">
              <w:rPr>
                <w:noProof/>
                <w:webHidden/>
              </w:rPr>
              <w:t>7</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71" w:history="1">
            <w:r w:rsidR="008337D8" w:rsidRPr="005A35B2">
              <w:rPr>
                <w:rStyle w:val="Hyperlink"/>
                <w:noProof/>
              </w:rPr>
              <w:t>Standard 2 - Our services treat people with dignity and respect</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_Toc88227471 \h </w:instrText>
            </w:r>
            <w:r w:rsidR="008337D8" w:rsidRPr="005A35B2">
              <w:rPr>
                <w:noProof/>
                <w:webHidden/>
              </w:rPr>
            </w:r>
            <w:r w:rsidR="008337D8" w:rsidRPr="005A35B2">
              <w:rPr>
                <w:noProof/>
                <w:webHidden/>
              </w:rPr>
              <w:fldChar w:fldCharType="separate"/>
            </w:r>
            <w:r w:rsidR="003413E3">
              <w:rPr>
                <w:noProof/>
                <w:webHidden/>
              </w:rPr>
              <w:t>9</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72" w:history="1">
            <w:r w:rsidR="008337D8" w:rsidRPr="005A35B2">
              <w:rPr>
                <w:rStyle w:val="Hyperlink"/>
                <w:noProof/>
              </w:rPr>
              <w:t>Standard 3 - Our services learn and improve</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_Toc88227472 \h </w:instrText>
            </w:r>
            <w:r w:rsidR="008337D8" w:rsidRPr="005A35B2">
              <w:rPr>
                <w:noProof/>
                <w:webHidden/>
              </w:rPr>
            </w:r>
            <w:r w:rsidR="008337D8" w:rsidRPr="005A35B2">
              <w:rPr>
                <w:noProof/>
                <w:webHidden/>
              </w:rPr>
              <w:fldChar w:fldCharType="separate"/>
            </w:r>
            <w:r w:rsidR="003413E3">
              <w:rPr>
                <w:noProof/>
                <w:webHidden/>
              </w:rPr>
              <w:t>11</w:t>
            </w:r>
            <w:r w:rsidR="008337D8" w:rsidRPr="005A35B2">
              <w:rPr>
                <w:noProof/>
                <w:webHidden/>
              </w:rPr>
              <w:fldChar w:fldCharType="end"/>
            </w:r>
          </w:hyperlink>
        </w:p>
        <w:p w:rsidR="008337D8" w:rsidRPr="005A35B2" w:rsidRDefault="00B558AE">
          <w:pPr>
            <w:pStyle w:val="TOC2"/>
            <w:tabs>
              <w:tab w:val="right" w:leader="dot" w:pos="13948"/>
            </w:tabs>
            <w:rPr>
              <w:rFonts w:asciiTheme="minorHAnsi" w:eastAsiaTheme="minorEastAsia" w:hAnsiTheme="minorHAnsi" w:cstheme="minorBidi"/>
              <w:noProof/>
              <w:sz w:val="22"/>
              <w:szCs w:val="22"/>
              <w:lang w:eastAsia="en-GB"/>
            </w:rPr>
          </w:pPr>
          <w:hyperlink w:anchor="_Toc88227473" w:history="1">
            <w:r w:rsidR="008337D8" w:rsidRPr="005A35B2">
              <w:rPr>
                <w:rStyle w:val="Hyperlink"/>
                <w:noProof/>
              </w:rPr>
              <w:t>Standard 4 - Our Services have partnership at their heart</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_Toc88227473 \h </w:instrText>
            </w:r>
            <w:r w:rsidR="008337D8" w:rsidRPr="005A35B2">
              <w:rPr>
                <w:noProof/>
                <w:webHidden/>
              </w:rPr>
            </w:r>
            <w:r w:rsidR="008337D8" w:rsidRPr="005A35B2">
              <w:rPr>
                <w:noProof/>
                <w:webHidden/>
              </w:rPr>
              <w:fldChar w:fldCharType="separate"/>
            </w:r>
            <w:r w:rsidR="003413E3">
              <w:rPr>
                <w:noProof/>
                <w:webHidden/>
              </w:rPr>
              <w:t>13</w:t>
            </w:r>
            <w:r w:rsidR="008337D8" w:rsidRPr="005A35B2">
              <w:rPr>
                <w:noProof/>
                <w:webHidden/>
              </w:rPr>
              <w:fldChar w:fldCharType="end"/>
            </w:r>
          </w:hyperlink>
        </w:p>
        <w:p w:rsidR="008337D8" w:rsidRPr="005A35B2" w:rsidRDefault="00B558AE">
          <w:pPr>
            <w:pStyle w:val="TOC1"/>
            <w:tabs>
              <w:tab w:val="left" w:pos="440"/>
              <w:tab w:val="right" w:leader="dot" w:pos="13948"/>
            </w:tabs>
            <w:rPr>
              <w:rFonts w:asciiTheme="minorHAnsi" w:eastAsiaTheme="minorEastAsia" w:hAnsiTheme="minorHAnsi" w:cstheme="minorBidi"/>
              <w:noProof/>
              <w:sz w:val="22"/>
              <w:szCs w:val="22"/>
              <w:lang w:eastAsia="en-GB"/>
            </w:rPr>
          </w:pPr>
          <w:hyperlink w:anchor="_Toc88227474" w:history="1">
            <w:r w:rsidR="008337D8" w:rsidRPr="005A35B2">
              <w:rPr>
                <w:rStyle w:val="Hyperlink"/>
                <w:b/>
                <w:noProof/>
              </w:rPr>
              <w:t>3.</w:t>
            </w:r>
            <w:r w:rsidR="008337D8" w:rsidRPr="005A35B2">
              <w:rPr>
                <w:rFonts w:asciiTheme="minorHAnsi" w:eastAsiaTheme="minorEastAsia" w:hAnsiTheme="minorHAnsi" w:cstheme="minorBidi"/>
                <w:noProof/>
                <w:sz w:val="22"/>
                <w:szCs w:val="22"/>
                <w:lang w:eastAsia="en-GB"/>
              </w:rPr>
              <w:tab/>
            </w:r>
            <w:r w:rsidR="008337D8" w:rsidRPr="005A35B2">
              <w:rPr>
                <w:rStyle w:val="Hyperlink"/>
                <w:b/>
                <w:noProof/>
              </w:rPr>
              <w:t>How the Standards fit with other products</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_Toc88227474 \h </w:instrText>
            </w:r>
            <w:r w:rsidR="008337D8" w:rsidRPr="005A35B2">
              <w:rPr>
                <w:noProof/>
                <w:webHidden/>
              </w:rPr>
            </w:r>
            <w:r w:rsidR="008337D8" w:rsidRPr="005A35B2">
              <w:rPr>
                <w:noProof/>
                <w:webHidden/>
              </w:rPr>
              <w:fldChar w:fldCharType="separate"/>
            </w:r>
            <w:r w:rsidR="003413E3">
              <w:rPr>
                <w:noProof/>
                <w:webHidden/>
              </w:rPr>
              <w:t>15</w:t>
            </w:r>
            <w:r w:rsidR="008337D8" w:rsidRPr="005A35B2">
              <w:rPr>
                <w:noProof/>
                <w:webHidden/>
              </w:rPr>
              <w:fldChar w:fldCharType="end"/>
            </w:r>
          </w:hyperlink>
        </w:p>
        <w:p w:rsidR="008337D8" w:rsidRPr="005A35B2" w:rsidRDefault="00B558AE">
          <w:pPr>
            <w:pStyle w:val="TOC1"/>
            <w:tabs>
              <w:tab w:val="left" w:pos="440"/>
              <w:tab w:val="right" w:leader="dot" w:pos="13948"/>
            </w:tabs>
            <w:rPr>
              <w:rFonts w:asciiTheme="minorHAnsi" w:eastAsiaTheme="minorEastAsia" w:hAnsiTheme="minorHAnsi" w:cstheme="minorBidi"/>
              <w:noProof/>
              <w:sz w:val="22"/>
              <w:szCs w:val="22"/>
              <w:lang w:eastAsia="en-GB"/>
            </w:rPr>
          </w:pPr>
          <w:hyperlink w:anchor="_Toc88227475" w:history="1">
            <w:r w:rsidR="008337D8" w:rsidRPr="005A35B2">
              <w:rPr>
                <w:rStyle w:val="Hyperlink"/>
                <w:b/>
                <w:noProof/>
              </w:rPr>
              <w:t>4.</w:t>
            </w:r>
            <w:r w:rsidR="008337D8" w:rsidRPr="005A35B2">
              <w:rPr>
                <w:rFonts w:asciiTheme="minorHAnsi" w:eastAsiaTheme="minorEastAsia" w:hAnsiTheme="minorHAnsi" w:cstheme="minorBidi"/>
                <w:noProof/>
                <w:sz w:val="22"/>
                <w:szCs w:val="22"/>
                <w:lang w:eastAsia="en-GB"/>
              </w:rPr>
              <w:tab/>
            </w:r>
            <w:r w:rsidR="008337D8" w:rsidRPr="005A35B2">
              <w:rPr>
                <w:rStyle w:val="Hyperlink"/>
                <w:b/>
                <w:noProof/>
              </w:rPr>
              <w:t>Our commitment to Continuous Improvement</w:t>
            </w:r>
            <w:r w:rsidR="008337D8" w:rsidRPr="005A35B2">
              <w:rPr>
                <w:noProof/>
                <w:webHidden/>
              </w:rPr>
              <w:tab/>
            </w:r>
            <w:r w:rsidR="008337D8" w:rsidRPr="005A35B2">
              <w:rPr>
                <w:noProof/>
                <w:webHidden/>
              </w:rPr>
              <w:fldChar w:fldCharType="begin"/>
            </w:r>
            <w:r w:rsidR="008337D8" w:rsidRPr="005A35B2">
              <w:rPr>
                <w:noProof/>
                <w:webHidden/>
              </w:rPr>
              <w:instrText xml:space="preserve"> PAGEREF _Toc88227475 \h </w:instrText>
            </w:r>
            <w:r w:rsidR="008337D8" w:rsidRPr="005A35B2">
              <w:rPr>
                <w:noProof/>
                <w:webHidden/>
              </w:rPr>
            </w:r>
            <w:r w:rsidR="008337D8" w:rsidRPr="005A35B2">
              <w:rPr>
                <w:noProof/>
                <w:webHidden/>
              </w:rPr>
              <w:fldChar w:fldCharType="separate"/>
            </w:r>
            <w:r w:rsidR="003413E3">
              <w:rPr>
                <w:noProof/>
                <w:webHidden/>
              </w:rPr>
              <w:t>16</w:t>
            </w:r>
            <w:r w:rsidR="008337D8" w:rsidRPr="005A35B2">
              <w:rPr>
                <w:noProof/>
                <w:webHidden/>
              </w:rPr>
              <w:fldChar w:fldCharType="end"/>
            </w:r>
          </w:hyperlink>
        </w:p>
        <w:p w:rsidR="00126DA2" w:rsidRPr="005A35B2" w:rsidRDefault="00126DA2">
          <w:r w:rsidRPr="005A35B2">
            <w:rPr>
              <w:b/>
              <w:bCs/>
              <w:noProof/>
            </w:rPr>
            <w:fldChar w:fldCharType="end"/>
          </w:r>
        </w:p>
      </w:sdtContent>
    </w:sdt>
    <w:p w:rsidR="005760DB" w:rsidRPr="005A35B2" w:rsidRDefault="005760DB" w:rsidP="005760DB"/>
    <w:p w:rsidR="005760DB" w:rsidRPr="005A35B2" w:rsidRDefault="005760DB" w:rsidP="005760DB"/>
    <w:p w:rsidR="005760DB" w:rsidRPr="005A35B2" w:rsidRDefault="005760DB" w:rsidP="005760DB"/>
    <w:p w:rsidR="005760DB" w:rsidRPr="005A35B2" w:rsidRDefault="005760DB" w:rsidP="005760DB"/>
    <w:p w:rsidR="005760DB" w:rsidRPr="005A35B2" w:rsidRDefault="005760DB" w:rsidP="005760DB"/>
    <w:p w:rsidR="005760DB" w:rsidRPr="005A35B2" w:rsidRDefault="005760DB" w:rsidP="005760DB"/>
    <w:p w:rsidR="005760DB" w:rsidRPr="005A35B2" w:rsidRDefault="005760DB" w:rsidP="005760DB"/>
    <w:p w:rsidR="005760DB" w:rsidRPr="005A35B2" w:rsidRDefault="005760DB" w:rsidP="005760DB"/>
    <w:p w:rsidR="005760DB" w:rsidRPr="005A35B2" w:rsidRDefault="005760DB" w:rsidP="005760DB"/>
    <w:p w:rsidR="005760DB" w:rsidRPr="005A35B2" w:rsidRDefault="005760DB" w:rsidP="00126DA2">
      <w:pPr>
        <w:tabs>
          <w:tab w:val="left" w:pos="1695"/>
        </w:tabs>
      </w:pPr>
    </w:p>
    <w:p w:rsidR="005760DB" w:rsidRPr="005A35B2" w:rsidRDefault="005760DB" w:rsidP="005760DB">
      <w:pPr>
        <w:pStyle w:val="Heading1"/>
        <w:numPr>
          <w:ilvl w:val="0"/>
          <w:numId w:val="2"/>
        </w:numPr>
        <w:rPr>
          <w:b/>
        </w:rPr>
      </w:pPr>
      <w:bookmarkStart w:id="0" w:name="_Toc88227464"/>
      <w:r w:rsidRPr="005A35B2">
        <w:rPr>
          <w:b/>
        </w:rPr>
        <w:t>Introduction</w:t>
      </w:r>
      <w:bookmarkEnd w:id="0"/>
      <w:r w:rsidRPr="005A35B2">
        <w:rPr>
          <w:b/>
        </w:rPr>
        <w:t xml:space="preserve"> </w:t>
      </w:r>
    </w:p>
    <w:p w:rsidR="005760DB" w:rsidRPr="005A35B2" w:rsidRDefault="005760DB" w:rsidP="005760DB"/>
    <w:p w:rsidR="00CC3B15" w:rsidRPr="005A35B2" w:rsidRDefault="00CC3B15" w:rsidP="005760DB">
      <w:r w:rsidRPr="005A35B2">
        <w:t xml:space="preserve">The employability system in Scotland is undergoing a transformation, as indeed it has been doing so since the publication of A New Future for Employability Support in Scotland in 2016. In 2018, we published two strategic No One Left Behind documents which outlined the need for a better aligned and integrated employability support system. </w:t>
      </w:r>
    </w:p>
    <w:p w:rsidR="00CC3B15" w:rsidRPr="005A35B2" w:rsidRDefault="00CC3B15" w:rsidP="005760DB"/>
    <w:p w:rsidR="003413E3" w:rsidRDefault="00B558AE" w:rsidP="005760DB">
      <w:hyperlink r:id="rId13" w:history="1">
        <w:r w:rsidR="00CC3B15" w:rsidRPr="005A35B2">
          <w:rPr>
            <w:rStyle w:val="Hyperlink"/>
          </w:rPr>
          <w:t>No One Left Behind: next steps for employability support</w:t>
        </w:r>
      </w:hyperlink>
      <w:r w:rsidR="00CC3B15" w:rsidRPr="005A35B2">
        <w:t xml:space="preserve"> set out the direction of travel for employability support, including the importance of local delivery and the need to align with other provision. This was supplemented by </w:t>
      </w:r>
      <w:hyperlink r:id="rId14" w:history="1">
        <w:r w:rsidR="00CC3B15" w:rsidRPr="005A35B2">
          <w:rPr>
            <w:rStyle w:val="Hyperlink"/>
          </w:rPr>
          <w:t>No One Left Behind: a review of employability services</w:t>
        </w:r>
      </w:hyperlink>
      <w:r w:rsidR="00CC3B15" w:rsidRPr="005A35B2">
        <w:t xml:space="preserve">, which identified further actions we need to take to deliver, including the creation of a </w:t>
      </w:r>
      <w:hyperlink r:id="rId15" w:history="1">
        <w:r w:rsidR="00CC3B15" w:rsidRPr="003413E3">
          <w:rPr>
            <w:rStyle w:val="Hyperlink"/>
          </w:rPr>
          <w:t>Shared Measurement Framework</w:t>
        </w:r>
      </w:hyperlink>
      <w:r w:rsidR="00CC3B15" w:rsidRPr="005A35B2">
        <w:t xml:space="preserve"> and the commitment to embedding Design Thinking in the system.</w:t>
      </w:r>
    </w:p>
    <w:p w:rsidR="003413E3" w:rsidRDefault="003413E3" w:rsidP="005760DB"/>
    <w:p w:rsidR="00C238C6" w:rsidRDefault="003413E3" w:rsidP="005760DB">
      <w:r w:rsidRPr="005A35B2">
        <w:rPr>
          <w:noProof/>
          <w:lang w:eastAsia="en-GB"/>
        </w:rPr>
        <w:drawing>
          <wp:anchor distT="0" distB="0" distL="114300" distR="114300" simplePos="0" relativeHeight="251663360" behindDoc="1" locked="0" layoutInCell="1" allowOverlap="1" wp14:anchorId="1FFA082A" wp14:editId="1BCC1DA6">
            <wp:simplePos x="0" y="0"/>
            <wp:positionH relativeFrom="margin">
              <wp:posOffset>-96862</wp:posOffset>
            </wp:positionH>
            <wp:positionV relativeFrom="paragraph">
              <wp:posOffset>403127</wp:posOffset>
            </wp:positionV>
            <wp:extent cx="8734425" cy="3384550"/>
            <wp:effectExtent l="0" t="0" r="9525" b="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r w:rsidR="00CC3B15" w:rsidRPr="005A35B2">
        <w:t>These documents</w:t>
      </w:r>
      <w:r w:rsidR="00C238C6">
        <w:t xml:space="preserve"> set out </w:t>
      </w:r>
      <w:r w:rsidR="00CC3B15" w:rsidRPr="005A35B2">
        <w:t>6 key principles</w:t>
      </w:r>
      <w:r w:rsidR="00C238C6">
        <w:t xml:space="preserve">, informed by </w:t>
      </w:r>
      <w:r w:rsidR="00263695">
        <w:t>stakeholders,</w:t>
      </w:r>
      <w:r w:rsidR="00263695" w:rsidRPr="005A35B2">
        <w:t xml:space="preserve"> which</w:t>
      </w:r>
      <w:r w:rsidR="00CC3B15" w:rsidRPr="005A35B2">
        <w:t xml:space="preserve"> were intended to guide the transformational change currently under way:</w:t>
      </w:r>
    </w:p>
    <w:p w:rsidR="003413E3" w:rsidRPr="005A35B2" w:rsidRDefault="003413E3" w:rsidP="005760DB"/>
    <w:p w:rsidR="00CC3B15" w:rsidRPr="005A35B2" w:rsidRDefault="00C60CDE" w:rsidP="005760DB">
      <w:r w:rsidRPr="005A35B2">
        <w:t>These principles build</w:t>
      </w:r>
      <w:r w:rsidR="005760DB" w:rsidRPr="005A35B2">
        <w:t xml:space="preserve"> upon the core values at the heart of the Scottish approach to employability, set out in response to wide consultation carried out when powers </w:t>
      </w:r>
      <w:r w:rsidR="00E66002">
        <w:t>for</w:t>
      </w:r>
      <w:r w:rsidR="005760DB" w:rsidRPr="005A35B2">
        <w:t xml:space="preserve"> contracted employment support were first devolved to Scotland. These were: </w:t>
      </w:r>
    </w:p>
    <w:p w:rsidR="00C60CDE" w:rsidRPr="005A35B2" w:rsidRDefault="00C60CDE" w:rsidP="005760DB"/>
    <w:p w:rsidR="005760DB" w:rsidRPr="005A35B2" w:rsidRDefault="005760DB" w:rsidP="005760DB">
      <w:pPr>
        <w:pStyle w:val="ListParagraph"/>
        <w:numPr>
          <w:ilvl w:val="0"/>
          <w:numId w:val="9"/>
        </w:numPr>
      </w:pPr>
      <w:r w:rsidRPr="005A35B2">
        <w:t xml:space="preserve">dignity and respect; </w:t>
      </w:r>
    </w:p>
    <w:p w:rsidR="005760DB" w:rsidRPr="005A35B2" w:rsidRDefault="005760DB" w:rsidP="005760DB">
      <w:pPr>
        <w:pStyle w:val="ListParagraph"/>
        <w:numPr>
          <w:ilvl w:val="0"/>
          <w:numId w:val="9"/>
        </w:numPr>
      </w:pPr>
      <w:r w:rsidRPr="005A35B2">
        <w:t>fairness and equality, and</w:t>
      </w:r>
    </w:p>
    <w:p w:rsidR="005760DB" w:rsidRPr="005A35B2" w:rsidRDefault="005760DB" w:rsidP="005760DB">
      <w:pPr>
        <w:pStyle w:val="ListParagraph"/>
        <w:numPr>
          <w:ilvl w:val="0"/>
          <w:numId w:val="9"/>
        </w:numPr>
      </w:pPr>
      <w:r w:rsidRPr="005A35B2">
        <w:t>continuous improvement</w:t>
      </w:r>
      <w:r w:rsidR="00C238C6">
        <w:t>.</w:t>
      </w:r>
    </w:p>
    <w:p w:rsidR="005760DB" w:rsidRPr="005A35B2" w:rsidRDefault="005760DB" w:rsidP="005760DB"/>
    <w:p w:rsidR="005760DB" w:rsidRPr="005A35B2" w:rsidRDefault="005760DB" w:rsidP="005760DB">
      <w:r w:rsidRPr="005A35B2">
        <w:t>The values and principles that underpin employability are also consistent with the wider devolved welfare system in Scotland, with key concepts such as dignity and respect, making clear links with the wider human rights based approach set out by Social Security Scotland.</w:t>
      </w:r>
    </w:p>
    <w:p w:rsidR="00CC3B15" w:rsidRPr="005A35B2" w:rsidRDefault="00CC3B15" w:rsidP="005760DB"/>
    <w:p w:rsidR="0045001E" w:rsidRPr="005A35B2" w:rsidRDefault="00CC3B15" w:rsidP="008337D8">
      <w:pPr>
        <w:pStyle w:val="Heading2"/>
        <w:rPr>
          <w:u w:val="single"/>
        </w:rPr>
      </w:pPr>
      <w:bookmarkStart w:id="1" w:name="_Toc88227465"/>
      <w:r w:rsidRPr="005A35B2">
        <w:rPr>
          <w:u w:val="single"/>
        </w:rPr>
        <w:t>Why do we need these Standards?</w:t>
      </w:r>
      <w:bookmarkEnd w:id="1"/>
    </w:p>
    <w:p w:rsidR="00CC3B15" w:rsidRPr="005A35B2" w:rsidRDefault="0096360B" w:rsidP="008337D8">
      <w:r>
        <w:t>We have developed these S</w:t>
      </w:r>
      <w:r w:rsidR="00CC3B15" w:rsidRPr="005A35B2">
        <w:t>tandards as a result of conversations with providers and partners in the employability space across Scotland, which highlighted what they thought worked well</w:t>
      </w:r>
      <w:r w:rsidR="002E0BB7">
        <w:t xml:space="preserve"> in terms of service delivery</w:t>
      </w:r>
      <w:r w:rsidR="00CC3B15" w:rsidRPr="005A35B2">
        <w:t xml:space="preserve">, and where we could look to improve. We heard that varying expectations on providers from different funding </w:t>
      </w:r>
      <w:r w:rsidR="002E0BB7">
        <w:t xml:space="preserve">streams </w:t>
      </w:r>
      <w:r w:rsidR="00CC3B15" w:rsidRPr="005A35B2">
        <w:t>can be difficult to manage, and that some existing Standards negatively impact on their ability to deliver truly person-centred support where they are too prescriptive.</w:t>
      </w:r>
    </w:p>
    <w:p w:rsidR="00CC3B15" w:rsidRPr="005A35B2" w:rsidRDefault="00CC3B15" w:rsidP="008337D8"/>
    <w:p w:rsidR="00CC3B15" w:rsidRPr="005A35B2" w:rsidRDefault="00CC3B15" w:rsidP="008337D8">
      <w:r w:rsidRPr="005A35B2">
        <w:t xml:space="preserve">We also heard that it can be challenging for those </w:t>
      </w:r>
      <w:r w:rsidR="00C238C6">
        <w:t>developing</w:t>
      </w:r>
      <w:r w:rsidR="00C238C6" w:rsidRPr="005A35B2">
        <w:t xml:space="preserve"> </w:t>
      </w:r>
      <w:r w:rsidRPr="005A35B2">
        <w:t>and delivering services to make sense of the policy intent without a clear steer as to what the expectations of them are.</w:t>
      </w:r>
    </w:p>
    <w:p w:rsidR="00CC3B15" w:rsidRPr="005A35B2" w:rsidRDefault="00CC3B15" w:rsidP="008337D8">
      <w:pPr>
        <w:rPr>
          <w:b/>
          <w:u w:val="single"/>
        </w:rPr>
      </w:pPr>
    </w:p>
    <w:p w:rsidR="0045001E" w:rsidRPr="005A35B2" w:rsidRDefault="00CC3B15" w:rsidP="008337D8">
      <w:r w:rsidRPr="005A35B2">
        <w:t>In response, the</w:t>
      </w:r>
      <w:r w:rsidR="002E0BB7">
        <w:t>se</w:t>
      </w:r>
      <w:r w:rsidR="0045001E" w:rsidRPr="005A35B2">
        <w:t xml:space="preserve"> Standards set out what</w:t>
      </w:r>
      <w:r w:rsidR="00263695">
        <w:t xml:space="preserve"> Scottish and Local Government</w:t>
      </w:r>
      <w:r w:rsidR="0045001E" w:rsidRPr="005A35B2">
        <w:t xml:space="preserve"> expect from Local Employability Partnerships and service</w:t>
      </w:r>
      <w:r w:rsidRPr="005A35B2">
        <w:t xml:space="preserve"> providers</w:t>
      </w:r>
      <w:r w:rsidR="0045001E" w:rsidRPr="005A35B2">
        <w:t xml:space="preserve">, and why this is important. They do not set out overly-prescriptive actions, or establish a </w:t>
      </w:r>
      <w:r w:rsidRPr="005A35B2">
        <w:t xml:space="preserve">numerical target that has </w:t>
      </w:r>
      <w:r w:rsidR="0045001E" w:rsidRPr="005A35B2">
        <w:t xml:space="preserve">to be met. Instead, they create a level of </w:t>
      </w:r>
      <w:r w:rsidR="0045001E" w:rsidRPr="005A35B2">
        <w:rPr>
          <w:b/>
        </w:rPr>
        <w:t>co</w:t>
      </w:r>
      <w:r w:rsidR="006B278F" w:rsidRPr="005A35B2">
        <w:rPr>
          <w:b/>
        </w:rPr>
        <w:t>herency</w:t>
      </w:r>
      <w:r w:rsidR="0045001E" w:rsidRPr="005A35B2">
        <w:t xml:space="preserve"> across Scotland to support the move to a local model of </w:t>
      </w:r>
      <w:r w:rsidR="002E0BB7">
        <w:t xml:space="preserve">employability </w:t>
      </w:r>
      <w:r w:rsidR="0045001E" w:rsidRPr="005A35B2">
        <w:t>delivery</w:t>
      </w:r>
      <w:r w:rsidR="00C238C6">
        <w:t xml:space="preserve"> and governance</w:t>
      </w:r>
      <w:r w:rsidR="0045001E" w:rsidRPr="005A35B2">
        <w:t>. This approach enables Local Employability Partnerships and providers to deliver c</w:t>
      </w:r>
      <w:r w:rsidR="006B278F" w:rsidRPr="005A35B2">
        <w:t>onsistently</w:t>
      </w:r>
      <w:r w:rsidR="0045001E" w:rsidRPr="005A35B2">
        <w:t xml:space="preserve"> in terms of service </w:t>
      </w:r>
      <w:r w:rsidR="00740336">
        <w:t>quality</w:t>
      </w:r>
      <w:r w:rsidR="0045001E" w:rsidRPr="005A35B2">
        <w:t>, whilst being empowered to determine how best to implement these Standards in a way tha</w:t>
      </w:r>
      <w:r w:rsidRPr="005A35B2">
        <w:t>t meets user needs, and account</w:t>
      </w:r>
      <w:r w:rsidR="00800D47">
        <w:t>s</w:t>
      </w:r>
      <w:r w:rsidR="0045001E" w:rsidRPr="005A35B2">
        <w:t xml:space="preserve"> for the unique situations in local areas. </w:t>
      </w:r>
    </w:p>
    <w:p w:rsidR="0045001E" w:rsidRPr="005A35B2" w:rsidRDefault="0045001E" w:rsidP="008337D8"/>
    <w:p w:rsidR="00E66002" w:rsidRDefault="0045001E" w:rsidP="008337D8">
      <w:r w:rsidRPr="005A35B2">
        <w:t xml:space="preserve">This approach is based on the belief that good services are consistent, not uniform, and that decisions affecting </w:t>
      </w:r>
      <w:r w:rsidR="006B278F" w:rsidRPr="005A35B2">
        <w:t>someone’s journey through a service should be taken with them, not dictated by national guidance.</w:t>
      </w:r>
    </w:p>
    <w:p w:rsidR="00E66002" w:rsidRDefault="00E66002" w:rsidP="008337D8"/>
    <w:p w:rsidR="005760DB" w:rsidRPr="005A35B2" w:rsidRDefault="005760DB" w:rsidP="005760DB"/>
    <w:p w:rsidR="00CC3B15" w:rsidRPr="005A35B2" w:rsidRDefault="005760DB" w:rsidP="008337D8">
      <w:pPr>
        <w:pStyle w:val="Heading2"/>
      </w:pPr>
      <w:bookmarkStart w:id="2" w:name="_Toc88227466"/>
      <w:r w:rsidRPr="005A35B2">
        <w:rPr>
          <w:u w:val="single"/>
        </w:rPr>
        <w:t xml:space="preserve">Who has helped us develop these </w:t>
      </w:r>
      <w:r w:rsidR="00F53ED1" w:rsidRPr="005A35B2">
        <w:rPr>
          <w:u w:val="single"/>
        </w:rPr>
        <w:t>Standards</w:t>
      </w:r>
      <w:r w:rsidRPr="005A35B2">
        <w:rPr>
          <w:u w:val="single"/>
        </w:rPr>
        <w:t>?</w:t>
      </w:r>
      <w:bookmarkEnd w:id="2"/>
    </w:p>
    <w:p w:rsidR="005760DB" w:rsidRPr="005A35B2" w:rsidRDefault="005760DB" w:rsidP="005760DB">
      <w:r w:rsidRPr="005A35B2">
        <w:t xml:space="preserve">These </w:t>
      </w:r>
      <w:r w:rsidR="00F53ED1" w:rsidRPr="005A35B2">
        <w:t>Standards</w:t>
      </w:r>
      <w:r w:rsidRPr="005A35B2">
        <w:t xml:space="preserve"> have been co-designed with </w:t>
      </w:r>
      <w:r w:rsidR="006B278F" w:rsidRPr="005A35B2">
        <w:t xml:space="preserve">users, as well as </w:t>
      </w:r>
      <w:r w:rsidRPr="005A35B2">
        <w:t xml:space="preserve">partners and stakeholders across the employability sector and beyond. This includes </w:t>
      </w:r>
      <w:r w:rsidR="002E0BB7">
        <w:t>p</w:t>
      </w:r>
      <w:r w:rsidRPr="005A35B2">
        <w:t xml:space="preserve">ublic, </w:t>
      </w:r>
      <w:r w:rsidR="002E0BB7">
        <w:t>t</w:t>
      </w:r>
      <w:r w:rsidRPr="005A35B2">
        <w:t xml:space="preserve">hird and </w:t>
      </w:r>
      <w:r w:rsidR="002E0BB7">
        <w:t>p</w:t>
      </w:r>
      <w:r w:rsidRPr="005A35B2">
        <w:t xml:space="preserve">rivate sector </w:t>
      </w:r>
      <w:r w:rsidR="006B278F" w:rsidRPr="005A35B2">
        <w:t>organisations</w:t>
      </w:r>
      <w:r w:rsidR="00C60CDE" w:rsidRPr="005A35B2">
        <w:t>.</w:t>
      </w:r>
    </w:p>
    <w:p w:rsidR="005760DB" w:rsidRPr="005A35B2" w:rsidRDefault="005760DB" w:rsidP="005760DB"/>
    <w:p w:rsidR="005760DB" w:rsidRPr="005A35B2" w:rsidRDefault="005760DB" w:rsidP="005760DB">
      <w:r w:rsidRPr="005A35B2">
        <w:t>Through initial workshops, partners helped identify key priority areas and themes for them, such as:</w:t>
      </w:r>
    </w:p>
    <w:p w:rsidR="00C60CDE" w:rsidRPr="005A35B2" w:rsidRDefault="00C60CDE" w:rsidP="005760DB"/>
    <w:p w:rsidR="005760DB" w:rsidRPr="005A35B2" w:rsidRDefault="006B278F" w:rsidP="005760DB">
      <w:pPr>
        <w:pStyle w:val="ListParagraph"/>
        <w:numPr>
          <w:ilvl w:val="0"/>
          <w:numId w:val="8"/>
        </w:numPr>
      </w:pPr>
      <w:r w:rsidRPr="005A35B2">
        <w:t>User-centred</w:t>
      </w:r>
      <w:r w:rsidR="002E0BB7">
        <w:t xml:space="preserve"> services</w:t>
      </w:r>
      <w:r w:rsidR="005760DB" w:rsidRPr="005A35B2">
        <w:t xml:space="preserve">, including the importance of accessibility, and the need for </w:t>
      </w:r>
      <w:r w:rsidR="00F53ED1" w:rsidRPr="005A35B2">
        <w:t>Standards</w:t>
      </w:r>
      <w:r w:rsidR="005760DB" w:rsidRPr="005A35B2">
        <w:t xml:space="preserve"> to make policy intentions like “person centred” more tangible</w:t>
      </w:r>
    </w:p>
    <w:p w:rsidR="005760DB" w:rsidRPr="005A35B2" w:rsidRDefault="005760DB" w:rsidP="005760DB">
      <w:pPr>
        <w:pStyle w:val="ListParagraph"/>
        <w:numPr>
          <w:ilvl w:val="0"/>
          <w:numId w:val="8"/>
        </w:numPr>
      </w:pPr>
      <w:r w:rsidRPr="005A35B2">
        <w:t xml:space="preserve">Flexibility, and ensuring the </w:t>
      </w:r>
      <w:r w:rsidR="00F53ED1" w:rsidRPr="005A35B2">
        <w:t>Standards</w:t>
      </w:r>
      <w:r w:rsidRPr="005A35B2">
        <w:t xml:space="preserve"> are not so prescriptive that they prevent them from delivering for users</w:t>
      </w:r>
    </w:p>
    <w:p w:rsidR="005760DB" w:rsidRPr="005A35B2" w:rsidRDefault="005760DB" w:rsidP="005760DB">
      <w:pPr>
        <w:pStyle w:val="ListParagraph"/>
        <w:numPr>
          <w:ilvl w:val="0"/>
          <w:numId w:val="8"/>
        </w:numPr>
      </w:pPr>
      <w:r w:rsidRPr="005A35B2">
        <w:t>Partnership and alignment, including the need for a strong partnership to form the basis of an effective service</w:t>
      </w:r>
      <w:r w:rsidR="002E0BB7">
        <w:t xml:space="preserve"> offer</w:t>
      </w:r>
    </w:p>
    <w:p w:rsidR="005760DB" w:rsidRPr="005A35B2" w:rsidRDefault="005760DB" w:rsidP="005760DB">
      <w:pPr>
        <w:pStyle w:val="ListParagraph"/>
        <w:numPr>
          <w:ilvl w:val="0"/>
          <w:numId w:val="8"/>
        </w:numPr>
      </w:pPr>
      <w:r w:rsidRPr="005A35B2">
        <w:t>Investing in the supporting infrastructure, such as staff training and capacity building around key commitments.</w:t>
      </w:r>
    </w:p>
    <w:p w:rsidR="005760DB" w:rsidRPr="005A35B2" w:rsidRDefault="005760DB" w:rsidP="005760DB"/>
    <w:p w:rsidR="005760DB" w:rsidRPr="005A35B2" w:rsidRDefault="00C60CDE" w:rsidP="00126DA2">
      <w:r w:rsidRPr="005A35B2">
        <w:t xml:space="preserve">The voice of experience has also ensured an intentional thread between these Service Standards and the </w:t>
      </w:r>
      <w:hyperlink r:id="rId21" w:history="1">
        <w:r w:rsidRPr="002650DB">
          <w:rPr>
            <w:rStyle w:val="Hyperlink"/>
          </w:rPr>
          <w:t xml:space="preserve">Customer </w:t>
        </w:r>
        <w:r w:rsidR="006B278F" w:rsidRPr="002650DB">
          <w:rPr>
            <w:rStyle w:val="Hyperlink"/>
          </w:rPr>
          <w:t>Charter</w:t>
        </w:r>
      </w:hyperlink>
      <w:r w:rsidR="006B278F" w:rsidRPr="005A35B2">
        <w:t>. The alignment between these two products is deliberate</w:t>
      </w:r>
      <w:r w:rsidR="002E0BB7">
        <w:t>,</w:t>
      </w:r>
      <w:r w:rsidR="006B278F" w:rsidRPr="005A35B2">
        <w:t xml:space="preserve"> with the insight from users that led to the creation of the commitments contained within the Charter also being used as a basis for the way these </w:t>
      </w:r>
      <w:r w:rsidR="0096360B">
        <w:t>S</w:t>
      </w:r>
      <w:r w:rsidR="006B278F" w:rsidRPr="005A35B2">
        <w:t xml:space="preserve">tandards have been presented. The Charter is intended for a user audience, whereas the </w:t>
      </w:r>
      <w:r w:rsidR="002E0BB7">
        <w:t>S</w:t>
      </w:r>
      <w:r w:rsidR="006B278F" w:rsidRPr="005A35B2">
        <w:t>tandards are for a practitioner or professional audience.</w:t>
      </w:r>
    </w:p>
    <w:p w:rsidR="00C60CDE" w:rsidRPr="005A35B2" w:rsidRDefault="00C60CDE" w:rsidP="00126DA2"/>
    <w:p w:rsidR="005760DB" w:rsidRPr="005A35B2" w:rsidRDefault="005760DB" w:rsidP="008337D8">
      <w:pPr>
        <w:pStyle w:val="Heading2"/>
      </w:pPr>
      <w:bookmarkStart w:id="3" w:name="_Toc88227467"/>
      <w:r w:rsidRPr="005A35B2">
        <w:rPr>
          <w:u w:val="single"/>
        </w:rPr>
        <w:t>Building on the evidence base</w:t>
      </w:r>
      <w:bookmarkEnd w:id="3"/>
      <w:r w:rsidRPr="005A35B2">
        <w:rPr>
          <w:u w:val="single"/>
        </w:rPr>
        <w:t xml:space="preserve"> </w:t>
      </w:r>
    </w:p>
    <w:p w:rsidR="005760DB" w:rsidRPr="005A35B2" w:rsidRDefault="005760DB" w:rsidP="005760DB">
      <w:r w:rsidRPr="005A35B2">
        <w:t xml:space="preserve">Learning from existing evidence around what is working well in Scotland has been a critical element of developing these </w:t>
      </w:r>
      <w:r w:rsidR="00F53ED1" w:rsidRPr="005A35B2">
        <w:t>Standards</w:t>
      </w:r>
      <w:r w:rsidRPr="005A35B2">
        <w:t xml:space="preserve">. For example, user feedback gathered as part of the Fair Start Scotland evaluation </w:t>
      </w:r>
      <w:r w:rsidR="00C60CDE" w:rsidRPr="005A35B2">
        <w:t xml:space="preserve">has </w:t>
      </w:r>
      <w:r w:rsidRPr="005A35B2">
        <w:t xml:space="preserve">highlighted areas of good practice from </w:t>
      </w:r>
      <w:r w:rsidR="00C60CDE" w:rsidRPr="005A35B2">
        <w:t xml:space="preserve">the perspective of </w:t>
      </w:r>
      <w:r w:rsidRPr="005A35B2">
        <w:t>user</w:t>
      </w:r>
      <w:r w:rsidR="00C60CDE" w:rsidRPr="005A35B2">
        <w:t>s</w:t>
      </w:r>
      <w:r w:rsidRPr="005A35B2">
        <w:t xml:space="preserve"> </w:t>
      </w:r>
      <w:r w:rsidR="00C60CDE" w:rsidRPr="005A35B2">
        <w:t xml:space="preserve">and </w:t>
      </w:r>
      <w:r w:rsidRPr="005A35B2">
        <w:t>provider</w:t>
      </w:r>
      <w:r w:rsidR="00C60CDE" w:rsidRPr="005A35B2">
        <w:t>s</w:t>
      </w:r>
      <w:r w:rsidRPr="005A35B2">
        <w:t xml:space="preserve"> that we should look to retain as we move towards delivering </w:t>
      </w:r>
      <w:r w:rsidR="002E0BB7">
        <w:t xml:space="preserve">the </w:t>
      </w:r>
      <w:r w:rsidRPr="005A35B2">
        <w:t>No One Left Behind</w:t>
      </w:r>
      <w:r w:rsidR="002E0BB7">
        <w:t xml:space="preserve"> approach</w:t>
      </w:r>
      <w:r w:rsidRPr="005A35B2">
        <w:t>. This includes:</w:t>
      </w:r>
    </w:p>
    <w:p w:rsidR="00C60CDE" w:rsidRPr="005A35B2" w:rsidRDefault="00C60CDE" w:rsidP="005760DB"/>
    <w:p w:rsidR="005760DB" w:rsidRPr="005A35B2" w:rsidRDefault="00C60CDE" w:rsidP="005760DB">
      <w:pPr>
        <w:pStyle w:val="ListParagraph"/>
        <w:numPr>
          <w:ilvl w:val="0"/>
          <w:numId w:val="10"/>
        </w:numPr>
      </w:pPr>
      <w:r w:rsidRPr="005A35B2">
        <w:t>Provision of support that falls outside of traditional employability, which has resulted in high degrees of positivity from Fair Start Scotland users</w:t>
      </w:r>
      <w:r w:rsidR="002E0BB7">
        <w:t xml:space="preserve"> </w:t>
      </w:r>
    </w:p>
    <w:p w:rsidR="005760DB" w:rsidRPr="005A35B2" w:rsidRDefault="005760DB" w:rsidP="005760DB">
      <w:pPr>
        <w:pStyle w:val="ListParagraph"/>
        <w:numPr>
          <w:ilvl w:val="0"/>
          <w:numId w:val="10"/>
        </w:numPr>
      </w:pPr>
      <w:r w:rsidRPr="005A35B2">
        <w:t>Dedicated key worker support, helping build trust and relationships between pa</w:t>
      </w:r>
      <w:r w:rsidR="00C60CDE" w:rsidRPr="005A35B2">
        <w:t>rticipants and the service</w:t>
      </w:r>
      <w:r w:rsidR="00C238C6">
        <w:t>s they access</w:t>
      </w:r>
    </w:p>
    <w:p w:rsidR="005760DB" w:rsidRPr="005A35B2" w:rsidRDefault="005760DB" w:rsidP="005760DB">
      <w:pPr>
        <w:pStyle w:val="ListParagraph"/>
        <w:numPr>
          <w:ilvl w:val="0"/>
          <w:numId w:val="10"/>
        </w:numPr>
      </w:pPr>
      <w:r w:rsidRPr="005A35B2">
        <w:t xml:space="preserve">On-going support after finding a job to </w:t>
      </w:r>
      <w:r w:rsidR="00C238C6">
        <w:t>help sustain that employment as well as</w:t>
      </w:r>
      <w:r w:rsidRPr="005A35B2">
        <w:t xml:space="preserve"> respo</w:t>
      </w:r>
      <w:r w:rsidR="00C60CDE" w:rsidRPr="005A35B2">
        <w:t>nd</w:t>
      </w:r>
      <w:r w:rsidR="00C238C6">
        <w:t>ing</w:t>
      </w:r>
      <w:r w:rsidR="00C60CDE" w:rsidRPr="005A35B2">
        <w:t xml:space="preserve"> to any setbacks </w:t>
      </w:r>
      <w:r w:rsidR="00C238C6">
        <w:t>quickly</w:t>
      </w:r>
    </w:p>
    <w:p w:rsidR="005760DB" w:rsidRDefault="005760DB" w:rsidP="005760DB">
      <w:pPr>
        <w:pStyle w:val="ListParagraph"/>
        <w:numPr>
          <w:ilvl w:val="0"/>
          <w:numId w:val="10"/>
        </w:numPr>
      </w:pPr>
      <w:r w:rsidRPr="005A35B2">
        <w:t>Continuous improvement activity leading to year-on-year improvements in processes surrounding the</w:t>
      </w:r>
      <w:r w:rsidR="00C238C6">
        <w:t xml:space="preserve"> approach and </w:t>
      </w:r>
      <w:r w:rsidRPr="005A35B2">
        <w:t>service</w:t>
      </w:r>
      <w:r w:rsidR="00C238C6">
        <w:t>s delivered under it</w:t>
      </w:r>
      <w:r w:rsidRPr="005A35B2">
        <w:t>.</w:t>
      </w:r>
      <w:r w:rsidRPr="005A35B2">
        <w:rPr>
          <w:rStyle w:val="FootnoteReference"/>
        </w:rPr>
        <w:footnoteReference w:id="2"/>
      </w:r>
      <w:r w:rsidRPr="005A35B2">
        <w:t xml:space="preserve"> </w:t>
      </w:r>
    </w:p>
    <w:p w:rsidR="00263695" w:rsidRPr="005A35B2" w:rsidRDefault="00263695" w:rsidP="00263695">
      <w:pPr>
        <w:pStyle w:val="ListParagraph"/>
      </w:pPr>
    </w:p>
    <w:p w:rsidR="005760DB" w:rsidRPr="005A35B2" w:rsidRDefault="005760DB" w:rsidP="005760DB">
      <w:pPr>
        <w:rPr>
          <w:b/>
        </w:rPr>
      </w:pPr>
    </w:p>
    <w:p w:rsidR="005760DB" w:rsidRPr="005A35B2" w:rsidRDefault="00CC3B15" w:rsidP="008337D8">
      <w:pPr>
        <w:pStyle w:val="Heading2"/>
      </w:pPr>
      <w:bookmarkStart w:id="4" w:name="_Toc88227468"/>
      <w:r w:rsidRPr="005A35B2">
        <w:rPr>
          <w:u w:val="single"/>
        </w:rPr>
        <w:t>Understanding how these Standards are implemented</w:t>
      </w:r>
      <w:bookmarkEnd w:id="4"/>
    </w:p>
    <w:p w:rsidR="00F641E9" w:rsidRPr="005A35B2" w:rsidRDefault="005760DB" w:rsidP="005760DB">
      <w:r w:rsidRPr="005A35B2">
        <w:t xml:space="preserve">Flexibility is a critical component of the No One Left Behind approach, which is why these </w:t>
      </w:r>
      <w:r w:rsidR="00F53ED1" w:rsidRPr="005A35B2">
        <w:t>Standards</w:t>
      </w:r>
      <w:r w:rsidRPr="005A35B2">
        <w:t xml:space="preserve"> have been kept at as high a level as possible. However, it is important to recognise that these have been </w:t>
      </w:r>
      <w:r w:rsidRPr="005A35B2">
        <w:rPr>
          <w:b/>
        </w:rPr>
        <w:t>collectively agreed</w:t>
      </w:r>
      <w:r w:rsidR="00F641E9" w:rsidRPr="005A35B2">
        <w:t xml:space="preserve"> through working directly with partners, stakeholders and users. </w:t>
      </w:r>
      <w:r w:rsidR="0045001E" w:rsidRPr="005A35B2">
        <w:t>Assessing and pro</w:t>
      </w:r>
      <w:r w:rsidR="0096360B">
        <w:t>gressing towards meeting these S</w:t>
      </w:r>
      <w:r w:rsidR="0045001E" w:rsidRPr="005A35B2">
        <w:t>tandards not only has benefits for individual organisations, but is also a critical part of supporting the creation of a coherent employability system.</w:t>
      </w:r>
    </w:p>
    <w:p w:rsidR="00F641E9" w:rsidRPr="005A35B2" w:rsidRDefault="00F641E9" w:rsidP="005760DB"/>
    <w:p w:rsidR="005760DB" w:rsidRPr="005A35B2" w:rsidRDefault="00F641E9" w:rsidP="005760DB">
      <w:r w:rsidRPr="005A35B2">
        <w:t xml:space="preserve">Assessing how well these Standards are being implemented </w:t>
      </w:r>
      <w:r w:rsidR="002E0BB7">
        <w:t xml:space="preserve">will </w:t>
      </w:r>
      <w:r w:rsidRPr="005A35B2">
        <w:t xml:space="preserve">allow us to understand whether our collective expectations are being met. This enables action to take place where extra support may be needed, and allows the identification of good practice and sharing of examples across the landscape. </w:t>
      </w:r>
      <w:r w:rsidR="005760DB" w:rsidRPr="005A35B2">
        <w:t xml:space="preserve">There is no desire to layer additional asks or complexity onto the reporting structure that has already been agreed for No One Left Behind. As such, measuring the implementation of these </w:t>
      </w:r>
      <w:r w:rsidR="00F53ED1" w:rsidRPr="005A35B2">
        <w:t>Standards</w:t>
      </w:r>
      <w:r w:rsidR="005760DB" w:rsidRPr="005A35B2">
        <w:t xml:space="preserve"> will be achieved through a mixed method approach that will include:</w:t>
      </w:r>
    </w:p>
    <w:p w:rsidR="00F641E9" w:rsidRPr="005A35B2" w:rsidRDefault="00F641E9" w:rsidP="005760DB"/>
    <w:p w:rsidR="005760DB" w:rsidRPr="005A35B2" w:rsidRDefault="00F641E9" w:rsidP="005760DB">
      <w:pPr>
        <w:pStyle w:val="ListParagraph"/>
        <w:numPr>
          <w:ilvl w:val="0"/>
          <w:numId w:val="13"/>
        </w:numPr>
      </w:pPr>
      <w:r w:rsidRPr="005A35B2">
        <w:t xml:space="preserve">Refining the </w:t>
      </w:r>
      <w:r w:rsidR="006B278F" w:rsidRPr="005A35B2">
        <w:t>r</w:t>
      </w:r>
      <w:r w:rsidRPr="005A35B2">
        <w:t>eporting templates</w:t>
      </w:r>
      <w:r w:rsidR="006B278F" w:rsidRPr="005A35B2">
        <w:t xml:space="preserve"> that partners complete</w:t>
      </w:r>
      <w:r w:rsidRPr="005A35B2">
        <w:t xml:space="preserve"> so that they reflect our Standards and help u</w:t>
      </w:r>
      <w:r w:rsidR="006A262E" w:rsidRPr="005A35B2">
        <w:t>s</w:t>
      </w:r>
      <w:r w:rsidRPr="005A35B2">
        <w:t xml:space="preserve"> build a </w:t>
      </w:r>
      <w:r w:rsidR="002E0BB7">
        <w:t xml:space="preserve">shared </w:t>
      </w:r>
      <w:r w:rsidRPr="005A35B2">
        <w:t>narrative around each of the 4 areas set out in this document;</w:t>
      </w:r>
    </w:p>
    <w:p w:rsidR="005760DB" w:rsidRPr="005A35B2" w:rsidRDefault="005760DB" w:rsidP="005760DB">
      <w:pPr>
        <w:pStyle w:val="ListParagraph"/>
        <w:numPr>
          <w:ilvl w:val="0"/>
          <w:numId w:val="13"/>
        </w:numPr>
      </w:pPr>
      <w:r w:rsidRPr="005A35B2">
        <w:t xml:space="preserve">Reference to data collected under the </w:t>
      </w:r>
      <w:hyperlink r:id="rId22" w:history="1">
        <w:r w:rsidR="003413E3" w:rsidRPr="003413E3">
          <w:rPr>
            <w:rStyle w:val="Hyperlink"/>
          </w:rPr>
          <w:t>Shared Measurement Framework</w:t>
        </w:r>
      </w:hyperlink>
      <w:r w:rsidR="003413E3">
        <w:t xml:space="preserve"> </w:t>
      </w:r>
      <w:r w:rsidRPr="005A35B2">
        <w:t xml:space="preserve">by services – this </w:t>
      </w:r>
      <w:r w:rsidR="00CC3B15" w:rsidRPr="005A35B2">
        <w:t>will be</w:t>
      </w:r>
      <w:r w:rsidRPr="005A35B2">
        <w:t xml:space="preserve"> a key source of </w:t>
      </w:r>
      <w:r w:rsidR="00F641E9" w:rsidRPr="005A35B2">
        <w:t xml:space="preserve">qualitative and </w:t>
      </w:r>
      <w:r w:rsidRPr="005A35B2">
        <w:t>quantitative evidence</w:t>
      </w:r>
      <w:r w:rsidR="00F641E9" w:rsidRPr="005A35B2">
        <w:t>; and</w:t>
      </w:r>
    </w:p>
    <w:p w:rsidR="005760DB" w:rsidRPr="005A35B2" w:rsidRDefault="005760DB" w:rsidP="005760DB">
      <w:pPr>
        <w:pStyle w:val="ListParagraph"/>
        <w:numPr>
          <w:ilvl w:val="0"/>
          <w:numId w:val="13"/>
        </w:numPr>
      </w:pPr>
      <w:r w:rsidRPr="005A35B2">
        <w:t>Reference to findings presented independently through the evaluation work that will be undertaken around No One Left Behind</w:t>
      </w:r>
      <w:r w:rsidR="002E0BB7">
        <w:t>.</w:t>
      </w:r>
    </w:p>
    <w:p w:rsidR="005760DB" w:rsidRPr="005A35B2" w:rsidRDefault="005760DB" w:rsidP="005760DB">
      <w:pPr>
        <w:pStyle w:val="ListParagraph"/>
      </w:pPr>
    </w:p>
    <w:p w:rsidR="00B45C14" w:rsidRDefault="005760DB" w:rsidP="005760DB">
      <w:r w:rsidRPr="005A35B2">
        <w:t xml:space="preserve">Responsibility for </w:t>
      </w:r>
      <w:r w:rsidR="00CC3B15" w:rsidRPr="005A35B2">
        <w:t xml:space="preserve">tracking the implementation of </w:t>
      </w:r>
      <w:r w:rsidRPr="005A35B2">
        <w:t xml:space="preserve">the </w:t>
      </w:r>
      <w:r w:rsidR="00F53ED1" w:rsidRPr="005A35B2">
        <w:t>Standards</w:t>
      </w:r>
      <w:r w:rsidRPr="005A35B2">
        <w:t xml:space="preserve"> will align with the </w:t>
      </w:r>
      <w:r w:rsidR="00740336">
        <w:t xml:space="preserve">principled of the </w:t>
      </w:r>
      <w:r w:rsidRPr="005A35B2">
        <w:t>Partnership Working Agreement, reflecting the need for Scottish and Local Government to work together</w:t>
      </w:r>
      <w:r w:rsidR="00C60CDE" w:rsidRPr="005A35B2">
        <w:t xml:space="preserve"> with Local Employability Partnerships</w:t>
      </w:r>
      <w:r w:rsidRPr="005A35B2">
        <w:t xml:space="preserve"> in ensuring delivery of </w:t>
      </w:r>
      <w:r w:rsidR="002E0BB7">
        <w:t xml:space="preserve">effective and high quality </w:t>
      </w:r>
      <w:r w:rsidRPr="005A35B2">
        <w:t>services</w:t>
      </w:r>
      <w:r w:rsidR="002E0BB7">
        <w:t>, which</w:t>
      </w:r>
      <w:r w:rsidRPr="005A35B2">
        <w:t xml:space="preserve"> meet the </w:t>
      </w:r>
      <w:r w:rsidR="00F53ED1" w:rsidRPr="005A35B2">
        <w:t>Standards</w:t>
      </w:r>
      <w:r w:rsidRPr="005A35B2">
        <w:t xml:space="preserve"> set out below.</w:t>
      </w:r>
      <w:r w:rsidR="0045001E" w:rsidRPr="005A35B2">
        <w:t xml:space="preserve"> </w:t>
      </w:r>
    </w:p>
    <w:p w:rsidR="003413E3" w:rsidRDefault="003413E3" w:rsidP="005760DB"/>
    <w:p w:rsidR="003413E3" w:rsidRDefault="003413E3" w:rsidP="005760DB"/>
    <w:p w:rsidR="003413E3" w:rsidRDefault="003413E3" w:rsidP="005760DB"/>
    <w:p w:rsidR="003413E3" w:rsidRDefault="003413E3" w:rsidP="005760DB"/>
    <w:p w:rsidR="003413E3" w:rsidRDefault="003413E3" w:rsidP="005760DB"/>
    <w:p w:rsidR="003413E3" w:rsidRDefault="003413E3" w:rsidP="005760DB"/>
    <w:p w:rsidR="003413E3" w:rsidRDefault="003413E3" w:rsidP="005760DB"/>
    <w:p w:rsidR="003413E3" w:rsidRPr="005A35B2" w:rsidRDefault="003413E3" w:rsidP="005760DB"/>
    <w:p w:rsidR="005760DB" w:rsidRPr="005A35B2" w:rsidRDefault="005760DB" w:rsidP="005760DB"/>
    <w:p w:rsidR="005760DB" w:rsidRPr="005A35B2" w:rsidRDefault="005760DB" w:rsidP="005760DB">
      <w:pPr>
        <w:pStyle w:val="Heading1"/>
        <w:numPr>
          <w:ilvl w:val="0"/>
          <w:numId w:val="2"/>
        </w:numPr>
        <w:rPr>
          <w:b/>
        </w:rPr>
      </w:pPr>
      <w:bookmarkStart w:id="5" w:name="_Toc88227469"/>
      <w:r w:rsidRPr="005A35B2">
        <w:rPr>
          <w:b/>
        </w:rPr>
        <w:t xml:space="preserve">The </w:t>
      </w:r>
      <w:r w:rsidR="00F53ED1" w:rsidRPr="005A35B2">
        <w:rPr>
          <w:b/>
        </w:rPr>
        <w:t>Standards</w:t>
      </w:r>
      <w:bookmarkEnd w:id="5"/>
    </w:p>
    <w:p w:rsidR="005760DB" w:rsidRPr="005A35B2" w:rsidRDefault="005760DB" w:rsidP="005760DB"/>
    <w:p w:rsidR="005760DB" w:rsidRPr="005A35B2" w:rsidRDefault="003413E3" w:rsidP="005760DB">
      <w:r>
        <w:rPr>
          <w:noProof/>
          <w:lang w:eastAsia="en-GB"/>
        </w:rPr>
        <w:drawing>
          <wp:anchor distT="0" distB="0" distL="114300" distR="114300" simplePos="0" relativeHeight="251680768" behindDoc="0" locked="0" layoutInCell="1" allowOverlap="1" wp14:anchorId="5CC0B9C8" wp14:editId="73F6D934">
            <wp:simplePos x="0" y="0"/>
            <wp:positionH relativeFrom="margin">
              <wp:posOffset>4356735</wp:posOffset>
            </wp:positionH>
            <wp:positionV relativeFrom="paragraph">
              <wp:posOffset>9525</wp:posOffset>
            </wp:positionV>
            <wp:extent cx="4492625" cy="5012055"/>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3">
                      <a:extLst>
                        <a:ext uri="{28A0092B-C50C-407E-A947-70E740481C1C}">
                          <a14:useLocalDpi xmlns:a14="http://schemas.microsoft.com/office/drawing/2010/main" val="0"/>
                        </a:ext>
                      </a:extLst>
                    </a:blip>
                    <a:srcRect l="16916" r="21371"/>
                    <a:stretch/>
                  </pic:blipFill>
                  <pic:spPr bwMode="auto">
                    <a:xfrm>
                      <a:off x="0" y="0"/>
                      <a:ext cx="4492625" cy="501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60DB" w:rsidRPr="005A35B2">
        <w:t xml:space="preserve">The </w:t>
      </w:r>
      <w:r w:rsidR="00F53ED1" w:rsidRPr="005A35B2">
        <w:t>Standards</w:t>
      </w:r>
      <w:r w:rsidR="005760DB" w:rsidRPr="005A35B2">
        <w:t xml:space="preserve"> set out what we should all be looking to evidence through design and delivery of </w:t>
      </w:r>
      <w:r w:rsidR="0096360B">
        <w:t xml:space="preserve">services through the </w:t>
      </w:r>
      <w:r w:rsidR="005760DB" w:rsidRPr="005A35B2">
        <w:t xml:space="preserve">No One Left Behind </w:t>
      </w:r>
      <w:r w:rsidR="0096360B">
        <w:t>approach</w:t>
      </w:r>
      <w:r w:rsidR="005760DB" w:rsidRPr="005A35B2">
        <w:t xml:space="preserve">. </w:t>
      </w:r>
    </w:p>
    <w:p w:rsidR="005760DB" w:rsidRPr="005A35B2" w:rsidRDefault="005760DB" w:rsidP="005760DB"/>
    <w:p w:rsidR="005760DB" w:rsidRPr="005A35B2" w:rsidRDefault="006B278F" w:rsidP="005760DB">
      <w:r w:rsidRPr="005A35B2">
        <w:t>I</w:t>
      </w:r>
      <w:r w:rsidR="005760DB" w:rsidRPr="005A35B2">
        <w:t xml:space="preserve">t is crucial that we have a level of consistency across </w:t>
      </w:r>
      <w:r w:rsidRPr="005A35B2">
        <w:t>Scotland</w:t>
      </w:r>
      <w:r w:rsidR="005760DB" w:rsidRPr="005A35B2">
        <w:t xml:space="preserve"> without negatively impacting on local flexibility</w:t>
      </w:r>
      <w:r w:rsidRPr="005A35B2">
        <w:t xml:space="preserve"> to deliver for people accessing services, or in a way that reflects local labour markets</w:t>
      </w:r>
      <w:r w:rsidR="005760DB" w:rsidRPr="005A35B2">
        <w:t xml:space="preserve">. The </w:t>
      </w:r>
      <w:r w:rsidR="0096360B">
        <w:t>S</w:t>
      </w:r>
      <w:r w:rsidR="00F53ED1" w:rsidRPr="005A35B2">
        <w:t>tandards</w:t>
      </w:r>
      <w:r w:rsidRPr="005A35B2">
        <w:t xml:space="preserve"> below</w:t>
      </w:r>
      <w:r w:rsidR="005760DB" w:rsidRPr="005A35B2">
        <w:t xml:space="preserve"> set out a number of </w:t>
      </w:r>
      <w:r w:rsidR="00C60CDE" w:rsidRPr="005A35B2">
        <w:t>expectations, b</w:t>
      </w:r>
      <w:r w:rsidR="005760DB" w:rsidRPr="005A35B2">
        <w:t>ut, partne</w:t>
      </w:r>
      <w:r w:rsidR="00C60CDE" w:rsidRPr="005A35B2">
        <w:t>rs can implement many of these</w:t>
      </w:r>
      <w:r w:rsidR="005760DB" w:rsidRPr="005A35B2">
        <w:t xml:space="preserve"> in a variety of ways</w:t>
      </w:r>
      <w:r w:rsidR="00C60CDE" w:rsidRPr="005A35B2">
        <w:t>. Organisations</w:t>
      </w:r>
      <w:r w:rsidR="005760DB" w:rsidRPr="005A35B2">
        <w:t xml:space="preserve"> should go further if t</w:t>
      </w:r>
      <w:r w:rsidR="00F53ED1" w:rsidRPr="005A35B2">
        <w:t xml:space="preserve">here is the </w:t>
      </w:r>
      <w:r w:rsidR="00C60CDE" w:rsidRPr="005A35B2">
        <w:t>capacity</w:t>
      </w:r>
      <w:r w:rsidR="00F53ED1" w:rsidRPr="005A35B2">
        <w:t xml:space="preserve"> and desire to do so.</w:t>
      </w:r>
    </w:p>
    <w:p w:rsidR="005760DB" w:rsidRPr="005A35B2" w:rsidRDefault="005760DB" w:rsidP="005760DB"/>
    <w:p w:rsidR="0096360B" w:rsidRDefault="0096360B" w:rsidP="005760DB">
      <w:r>
        <w:t>Each S</w:t>
      </w:r>
      <w:r w:rsidR="005760DB" w:rsidRPr="005A35B2">
        <w:t>tandard should not be viewed in isolation. There are areas of overlap, but delivered together, these are designed to achieve the common purpose of delivering better outcomes for users.</w:t>
      </w:r>
      <w:r w:rsidR="008337D8" w:rsidRPr="005A35B2">
        <w:t xml:space="preserve"> </w:t>
      </w:r>
    </w:p>
    <w:p w:rsidR="0096360B" w:rsidRDefault="0096360B" w:rsidP="005760DB"/>
    <w:p w:rsidR="0096360B" w:rsidRDefault="008337D8" w:rsidP="005760DB">
      <w:r w:rsidRPr="005A35B2">
        <w:t>The diagr</w:t>
      </w:r>
      <w:r w:rsidR="0096360B">
        <w:t>am below demonstrates how each S</w:t>
      </w:r>
      <w:r w:rsidRPr="005A35B2">
        <w:t>tandard is a necessary component of driving our collective ambition to deliver better outcomes for users of employability services.</w:t>
      </w:r>
    </w:p>
    <w:p w:rsidR="0096360B" w:rsidRDefault="0096360B" w:rsidP="005760DB"/>
    <w:p w:rsidR="0015621F" w:rsidRDefault="0015621F" w:rsidP="005760DB">
      <w:r>
        <w:t xml:space="preserve">These Standards are also designed to work with the </w:t>
      </w:r>
      <w:r w:rsidR="008C011E">
        <w:t xml:space="preserve">Customer </w:t>
      </w:r>
      <w:r>
        <w:t>Charter and the Sh</w:t>
      </w:r>
      <w:r w:rsidR="003413E3">
        <w:t>ared Measurement Framework</w:t>
      </w:r>
      <w:r>
        <w:t>. Taken together, these three products establish a shared view of what success looks like for employability services in Scotland and what is important.</w:t>
      </w:r>
    </w:p>
    <w:p w:rsidR="0015621F" w:rsidRDefault="0015621F" w:rsidP="005760DB"/>
    <w:p w:rsidR="008D13CC" w:rsidRPr="005A35B2" w:rsidRDefault="008D13CC" w:rsidP="005760DB"/>
    <w:p w:rsidR="00E7721B" w:rsidRPr="005A35B2" w:rsidRDefault="00E7721B" w:rsidP="005760DB"/>
    <w:p w:rsidR="005760DB" w:rsidRPr="005A35B2" w:rsidRDefault="005760DB" w:rsidP="005760DB">
      <w:pPr>
        <w:jc w:val="center"/>
        <w:sectPr w:rsidR="005760DB" w:rsidRPr="005A35B2" w:rsidSect="00DF37EA">
          <w:footerReference w:type="first" r:id="rId24"/>
          <w:pgSz w:w="16838" w:h="11906" w:orient="landscape" w:code="9"/>
          <w:pgMar w:top="1440" w:right="1440" w:bottom="1440" w:left="1440" w:header="720" w:footer="720" w:gutter="0"/>
          <w:pgNumType w:start="0"/>
          <w:cols w:space="708"/>
          <w:titlePg/>
          <w:docGrid w:linePitch="360"/>
        </w:sectPr>
      </w:pPr>
    </w:p>
    <w:tbl>
      <w:tblPr>
        <w:tblStyle w:val="TableGrid"/>
        <w:tblW w:w="5000" w:type="pct"/>
        <w:tblCellMar>
          <w:top w:w="113" w:type="dxa"/>
          <w:bottom w:w="113" w:type="dxa"/>
        </w:tblCellMar>
        <w:tblLook w:val="04A0" w:firstRow="1" w:lastRow="0" w:firstColumn="1" w:lastColumn="0" w:noHBand="0" w:noVBand="1"/>
      </w:tblPr>
      <w:tblGrid>
        <w:gridCol w:w="933"/>
        <w:gridCol w:w="7192"/>
        <w:gridCol w:w="7263"/>
      </w:tblGrid>
      <w:tr w:rsidR="00126DA2" w:rsidRPr="005A35B2" w:rsidTr="00F53ED1">
        <w:trPr>
          <w:trHeight w:val="276"/>
        </w:trPr>
        <w:tc>
          <w:tcPr>
            <w:tcW w:w="5000" w:type="pct"/>
            <w:gridSpan w:val="3"/>
            <w:tcBorders>
              <w:top w:val="single" w:sz="4" w:space="0" w:color="auto"/>
              <w:left w:val="single" w:sz="4" w:space="0" w:color="auto"/>
              <w:bottom w:val="nil"/>
              <w:right w:val="single" w:sz="4" w:space="0" w:color="auto"/>
            </w:tcBorders>
            <w:shd w:val="clear" w:color="auto" w:fill="F7CAAC" w:themeFill="accent2" w:themeFillTint="66"/>
            <w:vAlign w:val="center"/>
          </w:tcPr>
          <w:p w:rsidR="00126DA2" w:rsidRPr="005A35B2" w:rsidRDefault="00126DA2" w:rsidP="007E34B3">
            <w:pPr>
              <w:pStyle w:val="Heading2"/>
            </w:pPr>
            <w:bookmarkStart w:id="6" w:name="_Toc88227470"/>
            <w:r w:rsidRPr="005A35B2">
              <w:t>Standard 1</w:t>
            </w:r>
            <w:r w:rsidR="00E7721B" w:rsidRPr="005A35B2">
              <w:t xml:space="preserve"> -</w:t>
            </w:r>
            <w:r w:rsidRPr="005A35B2">
              <w:t xml:space="preserve"> </w:t>
            </w:r>
            <w:r w:rsidR="007E34B3" w:rsidRPr="005A35B2">
              <w:t>Our services work for users</w:t>
            </w:r>
            <w:bookmarkEnd w:id="6"/>
          </w:p>
        </w:tc>
      </w:tr>
      <w:tr w:rsidR="005760DB" w:rsidRPr="005A35B2" w:rsidTr="00F53ED1">
        <w:tc>
          <w:tcPr>
            <w:tcW w:w="303" w:type="pct"/>
            <w:vMerge w:val="restart"/>
            <w:tcBorders>
              <w:top w:val="nil"/>
            </w:tcBorders>
            <w:shd w:val="clear" w:color="auto" w:fill="F7CAAC" w:themeFill="accent2" w:themeFillTint="66"/>
            <w:textDirection w:val="btLr"/>
            <w:vAlign w:val="center"/>
          </w:tcPr>
          <w:p w:rsidR="005760DB" w:rsidRPr="005A35B2" w:rsidRDefault="005760DB" w:rsidP="007F1A40">
            <w:pPr>
              <w:ind w:left="113" w:right="113"/>
              <w:jc w:val="center"/>
              <w:rPr>
                <w:b/>
              </w:rPr>
            </w:pPr>
          </w:p>
        </w:tc>
        <w:tc>
          <w:tcPr>
            <w:tcW w:w="4697" w:type="pct"/>
            <w:gridSpan w:val="2"/>
            <w:tcBorders>
              <w:top w:val="single" w:sz="4" w:space="0" w:color="auto"/>
            </w:tcBorders>
            <w:shd w:val="clear" w:color="auto" w:fill="BFBFBF" w:themeFill="background1" w:themeFillShade="BF"/>
          </w:tcPr>
          <w:p w:rsidR="005760DB" w:rsidRPr="005A35B2" w:rsidRDefault="00126DA2" w:rsidP="007F1A40">
            <w:pPr>
              <w:jc w:val="center"/>
            </w:pPr>
            <w:r w:rsidRPr="005A35B2">
              <w:rPr>
                <w:b/>
              </w:rPr>
              <w:t>Why is this important?</w:t>
            </w:r>
          </w:p>
        </w:tc>
      </w:tr>
      <w:tr w:rsidR="005760DB" w:rsidRPr="005A35B2" w:rsidTr="007F1A40">
        <w:tc>
          <w:tcPr>
            <w:tcW w:w="303" w:type="pct"/>
            <w:vMerge/>
            <w:shd w:val="clear" w:color="auto" w:fill="F7CAAC" w:themeFill="accent2" w:themeFillTint="66"/>
          </w:tcPr>
          <w:p w:rsidR="005760DB" w:rsidRPr="005A35B2" w:rsidRDefault="005760DB" w:rsidP="007F1A40"/>
        </w:tc>
        <w:tc>
          <w:tcPr>
            <w:tcW w:w="4697" w:type="pct"/>
            <w:gridSpan w:val="2"/>
          </w:tcPr>
          <w:p w:rsidR="006B278F" w:rsidRPr="005A35B2" w:rsidRDefault="006B278F" w:rsidP="006B278F">
            <w:r w:rsidRPr="005A35B2">
              <w:t xml:space="preserve">For services to work for users, people that use services </w:t>
            </w:r>
            <w:r w:rsidR="00876DF9" w:rsidRPr="005A35B2">
              <w:t xml:space="preserve">and employers </w:t>
            </w:r>
            <w:r w:rsidRPr="005A35B2">
              <w:t xml:space="preserve">have to be involved from the earliest stages so that we can test our assumptions early and embed collaborative decision making into everything that we do. </w:t>
            </w:r>
          </w:p>
          <w:p w:rsidR="006B278F" w:rsidRPr="005A35B2" w:rsidRDefault="006B278F" w:rsidP="007F1A40"/>
          <w:p w:rsidR="005760DB" w:rsidRPr="005A35B2" w:rsidRDefault="005760DB" w:rsidP="007F1A40">
            <w:r w:rsidRPr="005A35B2">
              <w:t xml:space="preserve">Putting </w:t>
            </w:r>
            <w:r w:rsidR="006A262E" w:rsidRPr="005A35B2">
              <w:t>u</w:t>
            </w:r>
            <w:r w:rsidRPr="005A35B2">
              <w:t xml:space="preserve">sers at the centre of services is about more than simply consulting with them or assuming we know what will work best. It is about designing services </w:t>
            </w:r>
            <w:r w:rsidRPr="005A35B2">
              <w:rPr>
                <w:i/>
              </w:rPr>
              <w:t>with</w:t>
            </w:r>
            <w:r w:rsidRPr="005A35B2">
              <w:t xml:space="preserve"> the people that will use them. </w:t>
            </w:r>
          </w:p>
          <w:p w:rsidR="005760DB" w:rsidRPr="005A35B2" w:rsidRDefault="005760DB" w:rsidP="007F1A40"/>
          <w:p w:rsidR="005760DB" w:rsidRPr="005A35B2" w:rsidRDefault="006B278F" w:rsidP="007F1A40">
            <w:r w:rsidRPr="005A35B2">
              <w:t>The Customer</w:t>
            </w:r>
            <w:r w:rsidR="005760DB" w:rsidRPr="005A35B2">
              <w:t xml:space="preserve"> Charter sets out </w:t>
            </w:r>
            <w:r w:rsidR="0045001E" w:rsidRPr="005A35B2">
              <w:t>what users have told us they want from employability support</w:t>
            </w:r>
            <w:r w:rsidR="005760DB" w:rsidRPr="005A35B2">
              <w:t xml:space="preserve">, and </w:t>
            </w:r>
            <w:r w:rsidR="002E0BB7">
              <w:t>helps</w:t>
            </w:r>
            <w:r w:rsidR="002E0BB7" w:rsidRPr="005A35B2">
              <w:t xml:space="preserve"> </w:t>
            </w:r>
            <w:r w:rsidR="0045001E" w:rsidRPr="005A35B2">
              <w:t xml:space="preserve">us </w:t>
            </w:r>
            <w:r w:rsidR="002E0BB7">
              <w:t>to</w:t>
            </w:r>
            <w:r w:rsidR="0045001E" w:rsidRPr="005A35B2">
              <w:t xml:space="preserve"> understand</w:t>
            </w:r>
            <w:r w:rsidR="005760DB" w:rsidRPr="005A35B2">
              <w:t xml:space="preserve"> what a person-centred service looks like. Working with users to understand their circumstances and deliver</w:t>
            </w:r>
            <w:r w:rsidRPr="005A35B2">
              <w:t>ing services in a manner that take this into account is critical, whether it is providing flexible options for engaging with a service, or supporting someone to access support that sits outside of the traditional sphere of employability.</w:t>
            </w:r>
          </w:p>
          <w:p w:rsidR="005760DB" w:rsidRPr="005A35B2" w:rsidRDefault="005760DB" w:rsidP="007F1A40"/>
          <w:p w:rsidR="005760DB" w:rsidRPr="005A35B2" w:rsidRDefault="005760DB" w:rsidP="007F1A40">
            <w:r w:rsidRPr="005A35B2">
              <w:t>There is also strong evidence to show that a dedicated</w:t>
            </w:r>
            <w:r w:rsidR="00876DF9" w:rsidRPr="005A35B2">
              <w:t xml:space="preserve"> key worker or</w:t>
            </w:r>
            <w:r w:rsidRPr="005A35B2">
              <w:t xml:space="preserve"> </w:t>
            </w:r>
            <w:r w:rsidR="00876DF9" w:rsidRPr="005A35B2">
              <w:t>single point of contact</w:t>
            </w:r>
            <w:r w:rsidR="00C238C6">
              <w:t xml:space="preserve"> acting as a trusted professional</w:t>
            </w:r>
            <w:r w:rsidR="00876DF9" w:rsidRPr="005A35B2">
              <w:t xml:space="preserve"> </w:t>
            </w:r>
            <w:r w:rsidRPr="005A35B2">
              <w:t>is a critical element of a person-centred service, and the expectation of</w:t>
            </w:r>
            <w:r w:rsidR="0096360B">
              <w:t xml:space="preserve"> services delivered through the</w:t>
            </w:r>
            <w:r w:rsidRPr="005A35B2">
              <w:t xml:space="preserve"> No One Left Behind </w:t>
            </w:r>
            <w:r w:rsidR="0096360B">
              <w:t>approach</w:t>
            </w:r>
            <w:r w:rsidRPr="005A35B2">
              <w:t xml:space="preserve"> is that this is </w:t>
            </w:r>
            <w:r w:rsidR="00C238C6">
              <w:t>built</w:t>
            </w:r>
            <w:r w:rsidR="00C238C6" w:rsidRPr="005A35B2">
              <w:t xml:space="preserve"> </w:t>
            </w:r>
            <w:r w:rsidRPr="005A35B2">
              <w:t>in</w:t>
            </w:r>
            <w:r w:rsidR="00C238C6">
              <w:t>to the design</w:t>
            </w:r>
            <w:r w:rsidRPr="005A35B2">
              <w:t xml:space="preserve">. The expectation is for service users to have </w:t>
            </w:r>
            <w:r w:rsidR="006B278F" w:rsidRPr="005A35B2">
              <w:t>a</w:t>
            </w:r>
            <w:r w:rsidRPr="005A35B2">
              <w:t xml:space="preserve"> single point of contact throughout their journey</w:t>
            </w:r>
            <w:r w:rsidR="006B278F" w:rsidRPr="005A35B2">
              <w:t xml:space="preserve"> to help with building a trusting relationship</w:t>
            </w:r>
            <w:r w:rsidRPr="005A35B2">
              <w:t xml:space="preserve">, but that does not mean they should not </w:t>
            </w:r>
            <w:r w:rsidR="006B278F" w:rsidRPr="005A35B2">
              <w:t>engage with</w:t>
            </w:r>
            <w:r w:rsidRPr="005A35B2">
              <w:t xml:space="preserve"> other people as and when required.</w:t>
            </w:r>
          </w:p>
          <w:p w:rsidR="006B278F" w:rsidRPr="005A35B2" w:rsidRDefault="006B278F" w:rsidP="007F1A40"/>
          <w:p w:rsidR="005760DB" w:rsidRPr="005A35B2" w:rsidRDefault="006B278F" w:rsidP="007F1A40">
            <w:r w:rsidRPr="005A35B2">
              <w:t>When carrying out research it’s important that we involve a wide range of people, be ethical and inclusive, and that we collect and process data legally.</w:t>
            </w:r>
          </w:p>
        </w:tc>
      </w:tr>
      <w:tr w:rsidR="005760DB" w:rsidRPr="005A35B2" w:rsidTr="007E34B3">
        <w:tc>
          <w:tcPr>
            <w:tcW w:w="303" w:type="pct"/>
            <w:vMerge/>
            <w:shd w:val="clear" w:color="auto" w:fill="F7CAAC" w:themeFill="accent2" w:themeFillTint="66"/>
          </w:tcPr>
          <w:p w:rsidR="005760DB" w:rsidRPr="005A35B2" w:rsidRDefault="005760DB" w:rsidP="007F1A40">
            <w:pPr>
              <w:rPr>
                <w:b/>
              </w:rPr>
            </w:pPr>
          </w:p>
        </w:tc>
        <w:tc>
          <w:tcPr>
            <w:tcW w:w="2337" w:type="pct"/>
            <w:shd w:val="clear" w:color="auto" w:fill="BFBFBF" w:themeFill="background1" w:themeFillShade="BF"/>
          </w:tcPr>
          <w:p w:rsidR="005760DB" w:rsidRPr="005A35B2" w:rsidRDefault="00B45C14" w:rsidP="00B45C14">
            <w:pPr>
              <w:jc w:val="center"/>
              <w:rPr>
                <w:b/>
              </w:rPr>
            </w:pPr>
            <w:r w:rsidRPr="005A35B2">
              <w:rPr>
                <w:b/>
              </w:rPr>
              <w:t xml:space="preserve">Local Employability Partnership </w:t>
            </w:r>
            <w:r w:rsidR="005760DB" w:rsidRPr="005A35B2">
              <w:rPr>
                <w:b/>
              </w:rPr>
              <w:t>expectations</w:t>
            </w:r>
          </w:p>
        </w:tc>
        <w:tc>
          <w:tcPr>
            <w:tcW w:w="2360" w:type="pct"/>
            <w:shd w:val="clear" w:color="auto" w:fill="BFBFBF" w:themeFill="background1" w:themeFillShade="BF"/>
          </w:tcPr>
          <w:p w:rsidR="005760DB" w:rsidRPr="005A35B2" w:rsidRDefault="005760DB" w:rsidP="00B45C14">
            <w:pPr>
              <w:jc w:val="center"/>
              <w:rPr>
                <w:b/>
              </w:rPr>
            </w:pPr>
            <w:r w:rsidRPr="005A35B2">
              <w:rPr>
                <w:b/>
              </w:rPr>
              <w:t xml:space="preserve">Service </w:t>
            </w:r>
            <w:r w:rsidR="00B45C14" w:rsidRPr="005A35B2">
              <w:rPr>
                <w:b/>
              </w:rPr>
              <w:t>p</w:t>
            </w:r>
            <w:r w:rsidRPr="005A35B2">
              <w:rPr>
                <w:b/>
              </w:rPr>
              <w:t xml:space="preserve">rovider </w:t>
            </w:r>
            <w:r w:rsidR="00E20FF0" w:rsidRPr="005A35B2">
              <w:rPr>
                <w:b/>
              </w:rPr>
              <w:t>e</w:t>
            </w:r>
            <w:r w:rsidRPr="005A35B2">
              <w:rPr>
                <w:b/>
              </w:rPr>
              <w:t>xpectations</w:t>
            </w:r>
          </w:p>
        </w:tc>
      </w:tr>
      <w:tr w:rsidR="005760DB" w:rsidRPr="005A35B2" w:rsidTr="007E34B3">
        <w:tc>
          <w:tcPr>
            <w:tcW w:w="303" w:type="pct"/>
            <w:vMerge/>
            <w:shd w:val="clear" w:color="auto" w:fill="F7CAAC" w:themeFill="accent2" w:themeFillTint="66"/>
          </w:tcPr>
          <w:p w:rsidR="005760DB" w:rsidRPr="005A35B2" w:rsidRDefault="005760DB" w:rsidP="007F1A40"/>
        </w:tc>
        <w:tc>
          <w:tcPr>
            <w:tcW w:w="2337" w:type="pct"/>
          </w:tcPr>
          <w:p w:rsidR="005760DB" w:rsidRPr="005A35B2" w:rsidRDefault="005760DB" w:rsidP="007F1A40">
            <w:pPr>
              <w:rPr>
                <w:b/>
              </w:rPr>
            </w:pPr>
            <w:r w:rsidRPr="005A35B2">
              <w:rPr>
                <w:b/>
              </w:rPr>
              <w:t xml:space="preserve">Embed the </w:t>
            </w:r>
            <w:hyperlink r:id="rId25" w:history="1">
              <w:r w:rsidRPr="005A35B2">
                <w:rPr>
                  <w:rStyle w:val="Hyperlink"/>
                  <w:b/>
                </w:rPr>
                <w:t>Scottish Approach to Service Design</w:t>
              </w:r>
            </w:hyperlink>
            <w:r w:rsidR="00C238C6">
              <w:rPr>
                <w:rStyle w:val="Hyperlink"/>
                <w:b/>
              </w:rPr>
              <w:t xml:space="preserve"> (SAtSD)</w:t>
            </w:r>
          </w:p>
          <w:p w:rsidR="0045001E" w:rsidRPr="005A35B2" w:rsidRDefault="00B45C14" w:rsidP="007F1A40">
            <w:r w:rsidRPr="005A35B2">
              <w:t>Local Employability Partnership</w:t>
            </w:r>
            <w:r w:rsidR="005760DB" w:rsidRPr="005A35B2">
              <w:t xml:space="preserve">s design the commissioning process in line with the </w:t>
            </w:r>
            <w:r w:rsidR="00263695">
              <w:t>SAtSD</w:t>
            </w:r>
            <w:r w:rsidR="005760DB" w:rsidRPr="005A35B2">
              <w:t>, and utilise inclusive tools, such as those set out in t</w:t>
            </w:r>
            <w:r w:rsidR="00126DA2" w:rsidRPr="005A35B2">
              <w:t xml:space="preserve">he </w:t>
            </w:r>
            <w:hyperlink r:id="rId26" w:history="1">
              <w:r w:rsidR="003413E3" w:rsidRPr="003413E3">
                <w:rPr>
                  <w:rStyle w:val="Hyperlink"/>
                </w:rPr>
                <w:t>Employability Service Design Toolkit</w:t>
              </w:r>
            </w:hyperlink>
            <w:r w:rsidR="00126DA2" w:rsidRPr="005A35B2">
              <w:t>.</w:t>
            </w:r>
            <w:r w:rsidR="00876DF9" w:rsidRPr="005A35B2">
              <w:t xml:space="preserve"> This includes open and transparent engagement with employers, service users and providers.</w:t>
            </w:r>
          </w:p>
          <w:p w:rsidR="006B278F" w:rsidRDefault="006B278F" w:rsidP="007F1A40"/>
          <w:p w:rsidR="003413E3" w:rsidRPr="005A35B2" w:rsidRDefault="003413E3" w:rsidP="007F1A40"/>
          <w:p w:rsidR="005760DB" w:rsidRPr="005A35B2" w:rsidRDefault="005760DB" w:rsidP="007F1A40">
            <w:pPr>
              <w:rPr>
                <w:b/>
              </w:rPr>
            </w:pPr>
            <w:r w:rsidRPr="005A35B2">
              <w:rPr>
                <w:b/>
              </w:rPr>
              <w:t xml:space="preserve">Map </w:t>
            </w:r>
            <w:r w:rsidR="0045001E" w:rsidRPr="005A35B2">
              <w:rPr>
                <w:b/>
              </w:rPr>
              <w:t>provision in your area</w:t>
            </w:r>
          </w:p>
          <w:p w:rsidR="005760DB" w:rsidRPr="005A35B2" w:rsidRDefault="005760DB" w:rsidP="007F1A40">
            <w:r w:rsidRPr="005A35B2">
              <w:t>Take the time to understand how other services and support fits together locally</w:t>
            </w:r>
            <w:r w:rsidR="0096360B">
              <w:t xml:space="preserve"> and connect in practice. T</w:t>
            </w:r>
            <w:r w:rsidRPr="005A35B2">
              <w:t>his information</w:t>
            </w:r>
            <w:r w:rsidR="0096360B">
              <w:t xml:space="preserve"> should be shared</w:t>
            </w:r>
            <w:r w:rsidRPr="005A35B2">
              <w:t xml:space="preserve"> across the partnership to support providers in delivering expectations</w:t>
            </w:r>
          </w:p>
          <w:p w:rsidR="0045001E" w:rsidRPr="005A35B2" w:rsidRDefault="0045001E" w:rsidP="007F1A40"/>
          <w:p w:rsidR="005760DB" w:rsidRPr="005A35B2" w:rsidRDefault="005760DB" w:rsidP="007F1A40">
            <w:pPr>
              <w:rPr>
                <w:b/>
              </w:rPr>
            </w:pPr>
            <w:r w:rsidRPr="005A35B2">
              <w:rPr>
                <w:b/>
              </w:rPr>
              <w:t xml:space="preserve">Make sure evidence and data guide our decisions </w:t>
            </w:r>
          </w:p>
          <w:p w:rsidR="005760DB" w:rsidRPr="005A35B2" w:rsidRDefault="008B1499" w:rsidP="007F1A40">
            <w:r w:rsidRPr="005A35B2">
              <w:t xml:space="preserve">Identify </w:t>
            </w:r>
            <w:r w:rsidR="005760DB" w:rsidRPr="005A35B2">
              <w:t xml:space="preserve">data </w:t>
            </w:r>
            <w:r w:rsidRPr="005A35B2">
              <w:t xml:space="preserve">and evidence which will </w:t>
            </w:r>
            <w:r w:rsidR="005760DB" w:rsidRPr="005A35B2">
              <w:t xml:space="preserve">help you make decisions, </w:t>
            </w:r>
            <w:r w:rsidRPr="005A35B2">
              <w:t xml:space="preserve">and opportunities for improving data and </w:t>
            </w:r>
            <w:r w:rsidR="006B278F" w:rsidRPr="005A35B2">
              <w:t xml:space="preserve">your </w:t>
            </w:r>
            <w:r w:rsidRPr="005A35B2">
              <w:t xml:space="preserve">evidence base. </w:t>
            </w:r>
            <w:r w:rsidR="005760DB" w:rsidRPr="005A35B2">
              <w:t xml:space="preserve"> </w:t>
            </w:r>
            <w:r w:rsidRPr="005A35B2">
              <w:t xml:space="preserve">Data and evidence could include monitoring service </w:t>
            </w:r>
            <w:r w:rsidR="008337D8" w:rsidRPr="005A35B2">
              <w:t>data, qualitative</w:t>
            </w:r>
            <w:r w:rsidR="005760DB" w:rsidRPr="005A35B2">
              <w:t xml:space="preserve"> evidence from users and staff</w:t>
            </w:r>
            <w:r w:rsidRPr="005A35B2">
              <w:t xml:space="preserve"> and drawing from open data. Use the areas and key questions from the Employability </w:t>
            </w:r>
            <w:hyperlink r:id="rId27" w:history="1">
              <w:r w:rsidR="003413E3">
                <w:rPr>
                  <w:rStyle w:val="Hyperlink"/>
                </w:rPr>
                <w:t xml:space="preserve">Shared Measurement Framework </w:t>
              </w:r>
            </w:hyperlink>
            <w:r w:rsidRPr="005A35B2">
              <w:t xml:space="preserve"> to help generate actionable data and drive improvement</w:t>
            </w:r>
            <w:r w:rsidR="005760DB" w:rsidRPr="005A35B2">
              <w:t>.</w:t>
            </w:r>
            <w:r w:rsidRPr="005A35B2">
              <w:t xml:space="preserve">  </w:t>
            </w:r>
          </w:p>
          <w:p w:rsidR="005760DB" w:rsidRPr="005A35B2" w:rsidRDefault="005760DB" w:rsidP="007F1A40"/>
          <w:p w:rsidR="005760DB" w:rsidRPr="005A35B2" w:rsidRDefault="005760DB" w:rsidP="007F1A40">
            <w:pPr>
              <w:rPr>
                <w:b/>
              </w:rPr>
            </w:pPr>
            <w:r w:rsidRPr="005A35B2">
              <w:rPr>
                <w:b/>
              </w:rPr>
              <w:t>Share insights</w:t>
            </w:r>
          </w:p>
          <w:p w:rsidR="005760DB" w:rsidRPr="005A35B2" w:rsidRDefault="005760DB" w:rsidP="007F1A40">
            <w:r w:rsidRPr="005A35B2">
              <w:t>Communicate research findings and insights with your team and other organisations across the wider landscape who could use them</w:t>
            </w:r>
            <w:r w:rsidR="0045001E" w:rsidRPr="005A35B2">
              <w:t>, whether locally, regionally or nationally.</w:t>
            </w:r>
          </w:p>
          <w:p w:rsidR="005760DB" w:rsidRPr="005A35B2" w:rsidRDefault="005760DB" w:rsidP="007F1A40"/>
        </w:tc>
        <w:tc>
          <w:tcPr>
            <w:tcW w:w="2360" w:type="pct"/>
          </w:tcPr>
          <w:p w:rsidR="005760DB" w:rsidRPr="005A35B2" w:rsidRDefault="005760DB" w:rsidP="007F1A40">
            <w:pPr>
              <w:rPr>
                <w:b/>
              </w:rPr>
            </w:pPr>
            <w:r w:rsidRPr="005A35B2">
              <w:rPr>
                <w:b/>
              </w:rPr>
              <w:t>Services are designed with service user involvement</w:t>
            </w:r>
          </w:p>
          <w:p w:rsidR="006B278F" w:rsidRDefault="005760DB" w:rsidP="007F1A40">
            <w:r w:rsidRPr="005A35B2">
              <w:t>Providers design their services in line with the SAtSD, and utilise inclusive tools, such as those set out in the Employability Design Toolkit.</w:t>
            </w:r>
          </w:p>
          <w:p w:rsidR="0096360B" w:rsidRDefault="0096360B" w:rsidP="007F1A40"/>
          <w:p w:rsidR="0096360B" w:rsidRPr="005A35B2" w:rsidRDefault="0096360B" w:rsidP="007F1A40"/>
          <w:p w:rsidR="006B278F" w:rsidRDefault="006B278F" w:rsidP="007F1A40"/>
          <w:p w:rsidR="003413E3" w:rsidRPr="005A35B2" w:rsidRDefault="003413E3" w:rsidP="007F1A40"/>
          <w:p w:rsidR="005760DB" w:rsidRPr="005A35B2" w:rsidRDefault="005760DB" w:rsidP="007F1A40">
            <w:pPr>
              <w:rPr>
                <w:b/>
              </w:rPr>
            </w:pPr>
            <w:r w:rsidRPr="005A35B2">
              <w:rPr>
                <w:b/>
              </w:rPr>
              <w:t xml:space="preserve">Provide a dedicated </w:t>
            </w:r>
            <w:r w:rsidR="00876DF9" w:rsidRPr="005A35B2">
              <w:rPr>
                <w:b/>
              </w:rPr>
              <w:t>single point of contact</w:t>
            </w:r>
            <w:r w:rsidRPr="005A35B2">
              <w:rPr>
                <w:b/>
              </w:rPr>
              <w:t xml:space="preserve"> for users</w:t>
            </w:r>
          </w:p>
          <w:p w:rsidR="005760DB" w:rsidRPr="005A35B2" w:rsidRDefault="0045001E" w:rsidP="007F1A40">
            <w:r w:rsidRPr="005A35B2">
              <w:t xml:space="preserve">Service users should have the opportunity to work with someone that they can build a trusting relationship with. When support from another professional or service is required, the </w:t>
            </w:r>
            <w:r w:rsidR="00876DF9" w:rsidRPr="005A35B2">
              <w:t>single point of contact</w:t>
            </w:r>
            <w:r w:rsidRPr="005A35B2">
              <w:t xml:space="preserve"> should facilitate this.</w:t>
            </w:r>
          </w:p>
          <w:p w:rsidR="005760DB" w:rsidRPr="005A35B2" w:rsidRDefault="005760DB" w:rsidP="007F1A40"/>
          <w:p w:rsidR="005760DB" w:rsidRPr="005A35B2" w:rsidRDefault="005760DB" w:rsidP="007F1A40">
            <w:pPr>
              <w:rPr>
                <w:b/>
              </w:rPr>
            </w:pPr>
            <w:r w:rsidRPr="005A35B2">
              <w:rPr>
                <w:b/>
              </w:rPr>
              <w:t>Provide contact time that meets users’ needs</w:t>
            </w:r>
          </w:p>
          <w:p w:rsidR="005760DB" w:rsidRPr="005A35B2" w:rsidRDefault="005760DB" w:rsidP="007F1A40">
            <w:r w:rsidRPr="005A35B2">
              <w:t xml:space="preserve">Time spent engaging with a service and intervention should be adequate to meet user needs, rather than delivered to meet a target. </w:t>
            </w:r>
            <w:r w:rsidR="007E34B3" w:rsidRPr="005A35B2">
              <w:t>I</w:t>
            </w:r>
            <w:r w:rsidRPr="005A35B2">
              <w:t>t is critical that the time allotted for this can flex in response to the person accessing support. This time can include interventions from other services and professionals, and may change as the user moves towards</w:t>
            </w:r>
            <w:r w:rsidR="00C238C6">
              <w:t xml:space="preserve"> and into</w:t>
            </w:r>
            <w:r w:rsidRPr="005A35B2">
              <w:t xml:space="preserve"> work. </w:t>
            </w:r>
          </w:p>
          <w:p w:rsidR="005760DB" w:rsidRPr="005A35B2" w:rsidRDefault="005760DB" w:rsidP="007F1A40"/>
          <w:p w:rsidR="005760DB" w:rsidRPr="005A35B2" w:rsidRDefault="005760DB" w:rsidP="007F1A40">
            <w:pPr>
              <w:rPr>
                <w:b/>
              </w:rPr>
            </w:pPr>
            <w:r w:rsidRPr="005A35B2">
              <w:rPr>
                <w:b/>
              </w:rPr>
              <w:t>Work with other organisations to address whole problems for users</w:t>
            </w:r>
          </w:p>
          <w:p w:rsidR="007E34B3" w:rsidRPr="005A35B2" w:rsidRDefault="005760DB" w:rsidP="002E0BB7">
            <w:r w:rsidRPr="005A35B2">
              <w:t>Working to address barriers to employment can require input fr</w:t>
            </w:r>
            <w:r w:rsidR="0096360B">
              <w:t>o</w:t>
            </w:r>
            <w:r w:rsidRPr="005A35B2">
              <w:t>m a range of services that might not be seen as traditional employability support. We should view referrals</w:t>
            </w:r>
            <w:r w:rsidR="00C238C6">
              <w:t xml:space="preserve"> and facilitating access to</w:t>
            </w:r>
            <w:r w:rsidR="00263695">
              <w:t xml:space="preserve"> </w:t>
            </w:r>
            <w:r w:rsidRPr="005A35B2">
              <w:t xml:space="preserve">other services as a </w:t>
            </w:r>
            <w:r w:rsidR="0045001E" w:rsidRPr="005A35B2">
              <w:t xml:space="preserve">core </w:t>
            </w:r>
            <w:r w:rsidRPr="005A35B2">
              <w:t>part of our offer, and remain in contact with users in a way that meets their expectations throughout.</w:t>
            </w:r>
          </w:p>
        </w:tc>
      </w:tr>
      <w:tr w:rsidR="007E34B3" w:rsidRPr="005A35B2" w:rsidTr="007E34B3">
        <w:tc>
          <w:tcPr>
            <w:tcW w:w="303" w:type="pct"/>
            <w:vMerge/>
            <w:shd w:val="clear" w:color="auto" w:fill="F7CAAC" w:themeFill="accent2" w:themeFillTint="66"/>
          </w:tcPr>
          <w:p w:rsidR="007E34B3" w:rsidRPr="005A35B2" w:rsidRDefault="007E34B3" w:rsidP="007F1A40">
            <w:pPr>
              <w:rPr>
                <w:b/>
              </w:rPr>
            </w:pPr>
          </w:p>
        </w:tc>
        <w:tc>
          <w:tcPr>
            <w:tcW w:w="2337" w:type="pct"/>
            <w:shd w:val="clear" w:color="auto" w:fill="F7CAAC" w:themeFill="accent2" w:themeFillTint="66"/>
          </w:tcPr>
          <w:p w:rsidR="007E34B3" w:rsidRPr="005A35B2" w:rsidRDefault="007E34B3" w:rsidP="007F1A40">
            <w:pPr>
              <w:rPr>
                <w:b/>
              </w:rPr>
            </w:pPr>
            <w:r w:rsidRPr="005A35B2">
              <w:rPr>
                <w:b/>
              </w:rPr>
              <w:t xml:space="preserve">No One Left Behind Principles </w:t>
            </w:r>
          </w:p>
        </w:tc>
        <w:tc>
          <w:tcPr>
            <w:tcW w:w="2360" w:type="pct"/>
            <w:shd w:val="clear" w:color="auto" w:fill="F7CAAC" w:themeFill="accent2" w:themeFillTint="66"/>
          </w:tcPr>
          <w:p w:rsidR="007E34B3" w:rsidRPr="005A35B2" w:rsidRDefault="0015621F" w:rsidP="0015621F">
            <w:pPr>
              <w:rPr>
                <w:b/>
              </w:rPr>
            </w:pPr>
            <w:r w:rsidRPr="005A35B2">
              <w:rPr>
                <w:b/>
              </w:rPr>
              <w:t xml:space="preserve">How will we </w:t>
            </w:r>
            <w:r>
              <w:rPr>
                <w:b/>
              </w:rPr>
              <w:t>collectively assess progress</w:t>
            </w:r>
            <w:r w:rsidRPr="005A35B2">
              <w:rPr>
                <w:b/>
              </w:rPr>
              <w:t>?</w:t>
            </w:r>
          </w:p>
        </w:tc>
      </w:tr>
      <w:tr w:rsidR="007E34B3" w:rsidRPr="005A35B2" w:rsidTr="007E34B3">
        <w:tc>
          <w:tcPr>
            <w:tcW w:w="303" w:type="pct"/>
            <w:vMerge/>
            <w:shd w:val="clear" w:color="auto" w:fill="F7CAAC" w:themeFill="accent2" w:themeFillTint="66"/>
          </w:tcPr>
          <w:p w:rsidR="007E34B3" w:rsidRPr="005A35B2" w:rsidRDefault="007E34B3" w:rsidP="007E34B3"/>
        </w:tc>
        <w:tc>
          <w:tcPr>
            <w:tcW w:w="2337" w:type="pct"/>
          </w:tcPr>
          <w:p w:rsidR="007E34B3" w:rsidRPr="005A35B2" w:rsidRDefault="0096360B" w:rsidP="007E34B3">
            <w:pPr>
              <w:rPr>
                <w:b/>
              </w:rPr>
            </w:pPr>
            <w:r>
              <w:rPr>
                <w:b/>
              </w:rPr>
              <w:t>Through delivering this S</w:t>
            </w:r>
            <w:r w:rsidR="007E34B3" w:rsidRPr="005A35B2">
              <w:rPr>
                <w:b/>
              </w:rPr>
              <w:t>tandard in line with the expectations, we’re supporting delivery of the following principles:</w:t>
            </w:r>
          </w:p>
          <w:p w:rsidR="007E34B3" w:rsidRPr="005A35B2" w:rsidRDefault="007E34B3" w:rsidP="007E34B3">
            <w:pPr>
              <w:rPr>
                <w:b/>
              </w:rPr>
            </w:pPr>
          </w:p>
          <w:p w:rsidR="007E34B3" w:rsidRPr="005A35B2" w:rsidRDefault="007E34B3" w:rsidP="007E34B3">
            <w:pPr>
              <w:pStyle w:val="ListParagraph"/>
              <w:numPr>
                <w:ilvl w:val="0"/>
                <w:numId w:val="20"/>
              </w:numPr>
            </w:pPr>
            <w:r w:rsidRPr="005A35B2">
              <w:t>A system that provides flexible and person-centred support</w:t>
            </w:r>
          </w:p>
          <w:p w:rsidR="007E34B3" w:rsidRPr="005A35B2" w:rsidRDefault="002E0BB7" w:rsidP="007E34B3">
            <w:pPr>
              <w:pStyle w:val="ListParagraph"/>
              <w:numPr>
                <w:ilvl w:val="0"/>
                <w:numId w:val="20"/>
              </w:numPr>
              <w:rPr>
                <w:b/>
              </w:rPr>
            </w:pPr>
            <w:r>
              <w:t>I</w:t>
            </w:r>
            <w:r w:rsidR="007E34B3" w:rsidRPr="005A35B2">
              <w:t>s driven by evidence, including data and the experience of users</w:t>
            </w:r>
          </w:p>
          <w:p w:rsidR="007E34B3" w:rsidRPr="005A35B2" w:rsidRDefault="007E34B3" w:rsidP="007E34B3"/>
        </w:tc>
        <w:tc>
          <w:tcPr>
            <w:tcW w:w="2360" w:type="pct"/>
          </w:tcPr>
          <w:p w:rsidR="007E34B3" w:rsidRPr="005A35B2" w:rsidRDefault="007E34B3" w:rsidP="007E34B3">
            <w:pPr>
              <w:pStyle w:val="ListParagraph"/>
              <w:ind w:left="0"/>
              <w:rPr>
                <w:b/>
                <w:u w:val="single"/>
              </w:rPr>
            </w:pPr>
            <w:r w:rsidRPr="005A35B2">
              <w:rPr>
                <w:b/>
                <w:u w:val="single"/>
              </w:rPr>
              <w:t>Quarterly</w:t>
            </w:r>
          </w:p>
          <w:p w:rsidR="007E34B3" w:rsidRPr="005A35B2" w:rsidRDefault="00B45C14" w:rsidP="00711FF1">
            <w:pPr>
              <w:pStyle w:val="ListParagraph"/>
              <w:numPr>
                <w:ilvl w:val="0"/>
                <w:numId w:val="12"/>
              </w:numPr>
              <w:rPr>
                <w:b/>
                <w:u w:val="single"/>
              </w:rPr>
            </w:pPr>
            <w:r w:rsidRPr="005A35B2">
              <w:t>Shared Measurement Framework</w:t>
            </w:r>
          </w:p>
          <w:p w:rsidR="007E34B3" w:rsidRPr="005A35B2" w:rsidRDefault="007E34B3" w:rsidP="007E34B3">
            <w:pPr>
              <w:rPr>
                <w:b/>
                <w:u w:val="single"/>
              </w:rPr>
            </w:pPr>
          </w:p>
          <w:p w:rsidR="007E34B3" w:rsidRPr="005A35B2" w:rsidRDefault="007E34B3" w:rsidP="007E34B3">
            <w:pPr>
              <w:rPr>
                <w:b/>
                <w:u w:val="single"/>
              </w:rPr>
            </w:pPr>
            <w:r w:rsidRPr="005A35B2">
              <w:rPr>
                <w:b/>
                <w:u w:val="single"/>
              </w:rPr>
              <w:t>Annual</w:t>
            </w:r>
          </w:p>
          <w:p w:rsidR="00711FF1" w:rsidRPr="005A35B2" w:rsidRDefault="00711FF1" w:rsidP="00711FF1">
            <w:pPr>
              <w:pStyle w:val="ListParagraph"/>
              <w:numPr>
                <w:ilvl w:val="0"/>
                <w:numId w:val="12"/>
              </w:numPr>
              <w:rPr>
                <w:b/>
                <w:u w:val="single"/>
              </w:rPr>
            </w:pPr>
            <w:r>
              <w:t>Annual Delivery</w:t>
            </w:r>
            <w:r w:rsidRPr="005A35B2">
              <w:t xml:space="preserve"> Reports </w:t>
            </w:r>
          </w:p>
          <w:p w:rsidR="00B45C14" w:rsidRPr="005A35B2" w:rsidRDefault="00B45C14" w:rsidP="00711FF1">
            <w:pPr>
              <w:pStyle w:val="ListParagraph"/>
              <w:numPr>
                <w:ilvl w:val="0"/>
                <w:numId w:val="12"/>
              </w:numPr>
            </w:pPr>
            <w:r w:rsidRPr="005A35B2">
              <w:t>Independent e</w:t>
            </w:r>
            <w:r w:rsidR="007E34B3" w:rsidRPr="005A35B2">
              <w:t xml:space="preserve">valuation activity </w:t>
            </w:r>
          </w:p>
          <w:p w:rsidR="007E34B3" w:rsidRPr="005A35B2" w:rsidRDefault="00B45C14" w:rsidP="00711FF1">
            <w:pPr>
              <w:pStyle w:val="ListParagraph"/>
              <w:numPr>
                <w:ilvl w:val="0"/>
                <w:numId w:val="12"/>
              </w:numPr>
            </w:pPr>
            <w:r w:rsidRPr="005A35B2">
              <w:t>Local Employability Partnership</w:t>
            </w:r>
            <w:r w:rsidR="007E34B3" w:rsidRPr="005A35B2">
              <w:t xml:space="preserve"> self-assessment activity </w:t>
            </w:r>
          </w:p>
        </w:tc>
      </w:tr>
    </w:tbl>
    <w:p w:rsidR="005760DB" w:rsidRPr="005A35B2" w:rsidRDefault="005760DB" w:rsidP="005760DB"/>
    <w:tbl>
      <w:tblPr>
        <w:tblStyle w:val="TableGrid"/>
        <w:tblW w:w="5000" w:type="pct"/>
        <w:tblCellMar>
          <w:top w:w="113" w:type="dxa"/>
          <w:bottom w:w="113" w:type="dxa"/>
        </w:tblCellMar>
        <w:tblLook w:val="04A0" w:firstRow="1" w:lastRow="0" w:firstColumn="1" w:lastColumn="0" w:noHBand="0" w:noVBand="1"/>
      </w:tblPr>
      <w:tblGrid>
        <w:gridCol w:w="988"/>
        <w:gridCol w:w="6826"/>
        <w:gridCol w:w="7574"/>
      </w:tblGrid>
      <w:tr w:rsidR="00126DA2" w:rsidRPr="005A35B2" w:rsidTr="00F53ED1">
        <w:trPr>
          <w:trHeight w:val="276"/>
        </w:trPr>
        <w:tc>
          <w:tcPr>
            <w:tcW w:w="5000" w:type="pct"/>
            <w:gridSpan w:val="3"/>
            <w:tcBorders>
              <w:top w:val="single" w:sz="4" w:space="0" w:color="auto"/>
              <w:left w:val="single" w:sz="4" w:space="0" w:color="auto"/>
              <w:bottom w:val="nil"/>
              <w:right w:val="single" w:sz="4" w:space="0" w:color="auto"/>
            </w:tcBorders>
            <w:shd w:val="clear" w:color="auto" w:fill="C5E0B3" w:themeFill="accent6" w:themeFillTint="66"/>
          </w:tcPr>
          <w:p w:rsidR="00126DA2" w:rsidRPr="005A35B2" w:rsidRDefault="005760DB" w:rsidP="00126DA2">
            <w:pPr>
              <w:pStyle w:val="Heading2"/>
            </w:pPr>
            <w:r w:rsidRPr="005A35B2">
              <w:br w:type="page"/>
            </w:r>
            <w:bookmarkStart w:id="7" w:name="_Toc88227471"/>
            <w:r w:rsidR="00126DA2" w:rsidRPr="005A35B2">
              <w:t xml:space="preserve">Standard 2 - </w:t>
            </w:r>
            <w:r w:rsidR="007E34B3" w:rsidRPr="005A35B2">
              <w:t>Our services treat people with dignity and respect</w:t>
            </w:r>
            <w:bookmarkEnd w:id="7"/>
          </w:p>
        </w:tc>
      </w:tr>
      <w:tr w:rsidR="00126DA2" w:rsidRPr="005A35B2" w:rsidTr="00F53ED1">
        <w:tc>
          <w:tcPr>
            <w:tcW w:w="321" w:type="pct"/>
            <w:vMerge w:val="restart"/>
            <w:tcBorders>
              <w:top w:val="nil"/>
            </w:tcBorders>
            <w:shd w:val="clear" w:color="auto" w:fill="C5E0B3" w:themeFill="accent6" w:themeFillTint="66"/>
            <w:textDirection w:val="btLr"/>
            <w:vAlign w:val="center"/>
          </w:tcPr>
          <w:p w:rsidR="00126DA2" w:rsidRPr="005A35B2" w:rsidRDefault="00126DA2" w:rsidP="00F53ED1">
            <w:pPr>
              <w:ind w:left="113" w:right="113"/>
              <w:jc w:val="center"/>
              <w:rPr>
                <w:b/>
              </w:rPr>
            </w:pPr>
          </w:p>
        </w:tc>
        <w:tc>
          <w:tcPr>
            <w:tcW w:w="4679" w:type="pct"/>
            <w:gridSpan w:val="2"/>
            <w:tcBorders>
              <w:top w:val="single" w:sz="4" w:space="0" w:color="auto"/>
            </w:tcBorders>
            <w:shd w:val="clear" w:color="auto" w:fill="BFBFBF" w:themeFill="background1" w:themeFillShade="BF"/>
          </w:tcPr>
          <w:p w:rsidR="00126DA2" w:rsidRPr="005A35B2" w:rsidRDefault="00126DA2" w:rsidP="00126DA2">
            <w:pPr>
              <w:jc w:val="center"/>
            </w:pPr>
            <w:r w:rsidRPr="005A35B2">
              <w:rPr>
                <w:b/>
              </w:rPr>
              <w:t>Why is this important?</w:t>
            </w:r>
          </w:p>
        </w:tc>
      </w:tr>
      <w:tr w:rsidR="00126DA2" w:rsidRPr="005A35B2" w:rsidTr="007F1A40">
        <w:tc>
          <w:tcPr>
            <w:tcW w:w="321" w:type="pct"/>
            <w:vMerge/>
            <w:shd w:val="clear" w:color="auto" w:fill="C5E0B3" w:themeFill="accent6" w:themeFillTint="66"/>
          </w:tcPr>
          <w:p w:rsidR="00126DA2" w:rsidRPr="005A35B2" w:rsidRDefault="00126DA2" w:rsidP="00126DA2"/>
        </w:tc>
        <w:tc>
          <w:tcPr>
            <w:tcW w:w="4679" w:type="pct"/>
            <w:gridSpan w:val="2"/>
          </w:tcPr>
          <w:p w:rsidR="008D13CC" w:rsidRPr="005A35B2" w:rsidRDefault="00126DA2" w:rsidP="00126DA2">
            <w:r w:rsidRPr="005A35B2">
              <w:t>Often, those who need services the most</w:t>
            </w:r>
            <w:r w:rsidR="002E0BB7">
              <w:t>,</w:t>
            </w:r>
            <w:r w:rsidRPr="005A35B2">
              <w:t xml:space="preserve"> find them the hardest to </w:t>
            </w:r>
            <w:r w:rsidR="00C238C6">
              <w:t xml:space="preserve">access and </w:t>
            </w:r>
            <w:r w:rsidRPr="005A35B2">
              <w:t xml:space="preserve">use. </w:t>
            </w:r>
            <w:r w:rsidR="008D13CC" w:rsidRPr="005A35B2">
              <w:t>Treating people with dignity and respect requires that they are active participants in the decisions that affect them, and that services are accessible to e</w:t>
            </w:r>
            <w:r w:rsidR="006B278F" w:rsidRPr="005A35B2">
              <w:t>veryone that wishes to move into work</w:t>
            </w:r>
            <w:r w:rsidR="008D13CC" w:rsidRPr="005A35B2">
              <w:t>.</w:t>
            </w:r>
          </w:p>
          <w:p w:rsidR="008D13CC" w:rsidRPr="005A35B2" w:rsidRDefault="008D13CC" w:rsidP="00126DA2"/>
          <w:p w:rsidR="00126DA2" w:rsidRPr="005A35B2" w:rsidRDefault="00126DA2" w:rsidP="00126DA2">
            <w:r w:rsidRPr="005A35B2">
              <w:t>No One Left Behind is not about supporting a narrowly defined user group, so our definition of accessibility has to cover a broad spectrum. From physical accessibility to digital provision - including specialist support such as for those who are deaf/ hard of hearing or experience sight loss, as well as material</w:t>
            </w:r>
            <w:r w:rsidR="00263695">
              <w:t xml:space="preserve">s in other formats or languages. </w:t>
            </w:r>
            <w:r w:rsidR="00C238C6">
              <w:t>E</w:t>
            </w:r>
            <w:r w:rsidRPr="005A35B2">
              <w:t xml:space="preserve">veryone should be able to use the service and have access to </w:t>
            </w:r>
            <w:r w:rsidR="00C238C6">
              <w:t xml:space="preserve">the </w:t>
            </w:r>
            <w:r w:rsidRPr="005A35B2">
              <w:t xml:space="preserve">specialist support </w:t>
            </w:r>
            <w:r w:rsidR="00C238C6">
              <w:t>#they</w:t>
            </w:r>
            <w:r w:rsidRPr="005A35B2">
              <w:t xml:space="preserve"> require. </w:t>
            </w:r>
          </w:p>
          <w:p w:rsidR="00126DA2" w:rsidRPr="005A35B2" w:rsidRDefault="00126DA2" w:rsidP="00126DA2"/>
          <w:p w:rsidR="0096360B" w:rsidRDefault="00126DA2" w:rsidP="0096360B">
            <w:r w:rsidRPr="005A35B2">
              <w:t>Accessibility also means people have to be able to find the service, and be able to access it regardless of their circumstances. Referral routes should be as seamless as possible where they are needed.</w:t>
            </w:r>
            <w:r w:rsidR="0096360B">
              <w:t xml:space="preserve"> </w:t>
            </w:r>
          </w:p>
          <w:p w:rsidR="0096360B" w:rsidRPr="005A35B2" w:rsidRDefault="0096360B" w:rsidP="0096360B"/>
          <w:p w:rsidR="00126DA2" w:rsidRPr="005A35B2" w:rsidRDefault="0096360B" w:rsidP="0096360B">
            <w:r w:rsidRPr="005A35B2">
              <w:t xml:space="preserve">Services should also be flexible and consider what they can do to support accessibility for users, such as developing routes into harder to reach communities and groups. </w:t>
            </w:r>
          </w:p>
          <w:p w:rsidR="00126DA2" w:rsidRPr="005A35B2" w:rsidRDefault="00126DA2" w:rsidP="00126DA2"/>
          <w:p w:rsidR="00B45C14" w:rsidRPr="005A35B2" w:rsidRDefault="00126DA2">
            <w:r w:rsidRPr="005A35B2">
              <w:t xml:space="preserve">Users have reported being frustrated by services that over promise and under deliver. </w:t>
            </w:r>
            <w:r w:rsidR="0045001E" w:rsidRPr="005A35B2">
              <w:t xml:space="preserve">It is critical that we recognise where our </w:t>
            </w:r>
            <w:r w:rsidRPr="005A35B2">
              <w:t>strengths lie</w:t>
            </w:r>
            <w:r w:rsidR="0045001E" w:rsidRPr="005A35B2">
              <w:t>,</w:t>
            </w:r>
            <w:r w:rsidRPr="005A35B2">
              <w:t xml:space="preserve"> and</w:t>
            </w:r>
            <w:r w:rsidR="0045001E" w:rsidRPr="005A35B2">
              <w:t xml:space="preserve"> that we support users to engage with other organisations that may be</w:t>
            </w:r>
            <w:r w:rsidRPr="005A35B2">
              <w:t xml:space="preserve"> better placed to support an individual</w:t>
            </w:r>
            <w:r w:rsidR="0045001E" w:rsidRPr="005A35B2">
              <w:t>.</w:t>
            </w:r>
            <w:r w:rsidR="00C238C6">
              <w:t xml:space="preserve">  </w:t>
            </w:r>
          </w:p>
        </w:tc>
      </w:tr>
      <w:tr w:rsidR="00126DA2" w:rsidRPr="005A35B2" w:rsidTr="007F1A40">
        <w:tc>
          <w:tcPr>
            <w:tcW w:w="321" w:type="pct"/>
            <w:vMerge/>
            <w:shd w:val="clear" w:color="auto" w:fill="C5E0B3" w:themeFill="accent6" w:themeFillTint="66"/>
          </w:tcPr>
          <w:p w:rsidR="00126DA2" w:rsidRPr="005A35B2" w:rsidRDefault="00126DA2" w:rsidP="00126DA2">
            <w:pPr>
              <w:rPr>
                <w:b/>
              </w:rPr>
            </w:pPr>
          </w:p>
        </w:tc>
        <w:tc>
          <w:tcPr>
            <w:tcW w:w="2218" w:type="pct"/>
            <w:shd w:val="clear" w:color="auto" w:fill="BFBFBF" w:themeFill="background1" w:themeFillShade="BF"/>
          </w:tcPr>
          <w:p w:rsidR="00126DA2" w:rsidRPr="005A35B2" w:rsidRDefault="00B45C14" w:rsidP="00B45C14">
            <w:pPr>
              <w:jc w:val="center"/>
              <w:rPr>
                <w:b/>
              </w:rPr>
            </w:pPr>
            <w:r w:rsidRPr="005A35B2">
              <w:rPr>
                <w:b/>
              </w:rPr>
              <w:t xml:space="preserve">Local Employability Partnership </w:t>
            </w:r>
            <w:r w:rsidR="00126DA2" w:rsidRPr="005A35B2">
              <w:rPr>
                <w:b/>
              </w:rPr>
              <w:t>expectations</w:t>
            </w:r>
          </w:p>
        </w:tc>
        <w:tc>
          <w:tcPr>
            <w:tcW w:w="2461" w:type="pct"/>
            <w:shd w:val="clear" w:color="auto" w:fill="BFBFBF" w:themeFill="background1" w:themeFillShade="BF"/>
          </w:tcPr>
          <w:p w:rsidR="00126DA2" w:rsidRPr="005A35B2" w:rsidRDefault="00126DA2" w:rsidP="00B45C14">
            <w:pPr>
              <w:jc w:val="center"/>
              <w:rPr>
                <w:b/>
              </w:rPr>
            </w:pPr>
            <w:r w:rsidRPr="005A35B2">
              <w:rPr>
                <w:b/>
              </w:rPr>
              <w:t xml:space="preserve">Service </w:t>
            </w:r>
            <w:r w:rsidR="00B45C14" w:rsidRPr="005A35B2">
              <w:rPr>
                <w:b/>
              </w:rPr>
              <w:t>p</w:t>
            </w:r>
            <w:r w:rsidR="00E20FF0" w:rsidRPr="005A35B2">
              <w:rPr>
                <w:b/>
              </w:rPr>
              <w:t>rovider e</w:t>
            </w:r>
            <w:r w:rsidRPr="005A35B2">
              <w:rPr>
                <w:b/>
              </w:rPr>
              <w:t>xpectations</w:t>
            </w:r>
          </w:p>
        </w:tc>
      </w:tr>
      <w:tr w:rsidR="00126DA2" w:rsidRPr="005A35B2" w:rsidTr="007F1A40">
        <w:tc>
          <w:tcPr>
            <w:tcW w:w="321" w:type="pct"/>
            <w:vMerge/>
            <w:shd w:val="clear" w:color="auto" w:fill="C5E0B3" w:themeFill="accent6" w:themeFillTint="66"/>
          </w:tcPr>
          <w:p w:rsidR="00126DA2" w:rsidRPr="005A35B2" w:rsidRDefault="00126DA2" w:rsidP="00126DA2"/>
        </w:tc>
        <w:tc>
          <w:tcPr>
            <w:tcW w:w="2218" w:type="pct"/>
          </w:tcPr>
          <w:p w:rsidR="0045001E" w:rsidRPr="005A35B2" w:rsidRDefault="00126DA2" w:rsidP="00126DA2">
            <w:pPr>
              <w:rPr>
                <w:b/>
              </w:rPr>
            </w:pPr>
            <w:r w:rsidRPr="005A35B2">
              <w:rPr>
                <w:b/>
              </w:rPr>
              <w:t xml:space="preserve">Proactively engage those that are harder to reach </w:t>
            </w:r>
          </w:p>
          <w:p w:rsidR="00126DA2" w:rsidRDefault="0045001E" w:rsidP="00126DA2">
            <w:r w:rsidRPr="005A35B2">
              <w:t>W</w:t>
            </w:r>
            <w:r w:rsidR="00126DA2" w:rsidRPr="005A35B2">
              <w:t xml:space="preserve">e need to ensure that those who are </w:t>
            </w:r>
            <w:r w:rsidR="0096360B">
              <w:t>further from the labour market</w:t>
            </w:r>
            <w:r w:rsidR="00126DA2" w:rsidRPr="005A35B2">
              <w:t xml:space="preserve"> </w:t>
            </w:r>
            <w:r w:rsidR="00C238C6">
              <w:t xml:space="preserve">are specifically targeted by </w:t>
            </w:r>
            <w:r w:rsidR="00126DA2" w:rsidRPr="005A35B2">
              <w:t xml:space="preserve"> services. Actively considering how to engage with people and communities that are not well served by public services should be an integral part of service planning</w:t>
            </w:r>
            <w:r w:rsidRPr="005A35B2">
              <w:t>.</w:t>
            </w:r>
            <w:r w:rsidR="00876DF9" w:rsidRPr="005A35B2">
              <w:t xml:space="preserve"> Our services should be as simple as possible for users to engage with.</w:t>
            </w:r>
          </w:p>
          <w:p w:rsidR="00263695" w:rsidRDefault="00263695" w:rsidP="00126DA2"/>
          <w:p w:rsidR="00263695" w:rsidRDefault="00263695" w:rsidP="00126DA2"/>
          <w:p w:rsidR="00126DA2" w:rsidRPr="005A35B2" w:rsidRDefault="00126DA2" w:rsidP="00126DA2">
            <w:pPr>
              <w:rPr>
                <w:b/>
              </w:rPr>
            </w:pPr>
          </w:p>
          <w:p w:rsidR="0045001E" w:rsidRPr="005A35B2" w:rsidRDefault="00126DA2" w:rsidP="00126DA2">
            <w:pPr>
              <w:rPr>
                <w:b/>
              </w:rPr>
            </w:pPr>
            <w:r w:rsidRPr="005A35B2">
              <w:rPr>
                <w:b/>
              </w:rPr>
              <w:t xml:space="preserve">Actively design referral pathways and entry routes </w:t>
            </w:r>
          </w:p>
          <w:p w:rsidR="00126DA2" w:rsidRPr="005A35B2" w:rsidRDefault="0045001E" w:rsidP="00126DA2">
            <w:r w:rsidRPr="005A35B2">
              <w:t>E</w:t>
            </w:r>
            <w:r w:rsidR="00126DA2" w:rsidRPr="005A35B2">
              <w:t>nsure services</w:t>
            </w:r>
            <w:r w:rsidR="00126DA2" w:rsidRPr="005A35B2">
              <w:rPr>
                <w:b/>
              </w:rPr>
              <w:t xml:space="preserve"> </w:t>
            </w:r>
            <w:r w:rsidR="00126DA2" w:rsidRPr="005A35B2">
              <w:t xml:space="preserve">cater for a wide range of </w:t>
            </w:r>
            <w:r w:rsidRPr="005A35B2">
              <w:t>circumstances</w:t>
            </w:r>
            <w:r w:rsidR="00126DA2" w:rsidRPr="005A35B2">
              <w:t>, whether that is referral from statutory services, users getting in touch directly to get support</w:t>
            </w:r>
            <w:r w:rsidR="00263695">
              <w:t xml:space="preserve"> or signposting </w:t>
            </w:r>
            <w:r w:rsidR="007F1DFB">
              <w:t>and introduction from another service</w:t>
            </w:r>
            <w:r w:rsidR="00126DA2" w:rsidRPr="005A35B2">
              <w:t>.</w:t>
            </w:r>
            <w:r w:rsidRPr="005A35B2">
              <w:t xml:space="preserve"> Partnerships should also consider outgoing referral routes</w:t>
            </w:r>
            <w:r w:rsidR="007F1DFB">
              <w:t xml:space="preserve"> </w:t>
            </w:r>
            <w:r w:rsidRPr="005A35B2">
              <w:t>to ensure we can get users the right support at the right time</w:t>
            </w:r>
            <w:r w:rsidR="007F1DFB">
              <w:t xml:space="preserve">, and recognising that multiple services may require to be accessed </w:t>
            </w:r>
            <w:r w:rsidR="00263695">
              <w:t>concurrently.</w:t>
            </w:r>
          </w:p>
          <w:p w:rsidR="00126DA2" w:rsidRPr="005A35B2" w:rsidRDefault="00126DA2" w:rsidP="00126DA2"/>
          <w:p w:rsidR="0045001E" w:rsidRPr="005A35B2" w:rsidRDefault="00126DA2" w:rsidP="00126DA2">
            <w:pPr>
              <w:rPr>
                <w:b/>
              </w:rPr>
            </w:pPr>
            <w:r w:rsidRPr="005A35B2">
              <w:rPr>
                <w:b/>
              </w:rPr>
              <w:t xml:space="preserve">Specialist services </w:t>
            </w:r>
          </w:p>
          <w:p w:rsidR="00876DF9" w:rsidRPr="005A35B2" w:rsidRDefault="005A0DDB" w:rsidP="00126DA2">
            <w:r w:rsidRPr="005A35B2">
              <w:t>Plan and commission for specialist support that is necessary to enable people to access servi</w:t>
            </w:r>
            <w:r w:rsidR="008D13CC" w:rsidRPr="005A35B2">
              <w:t xml:space="preserve">ces, and progress towards work. </w:t>
            </w:r>
          </w:p>
          <w:p w:rsidR="00126DA2" w:rsidRPr="005A35B2" w:rsidRDefault="00126DA2" w:rsidP="00126DA2"/>
        </w:tc>
        <w:tc>
          <w:tcPr>
            <w:tcW w:w="2461" w:type="pct"/>
          </w:tcPr>
          <w:p w:rsidR="008D13CC" w:rsidRPr="005A35B2" w:rsidRDefault="00876DF9" w:rsidP="008D13CC">
            <w:r w:rsidRPr="005A35B2">
              <w:rPr>
                <w:b/>
              </w:rPr>
              <w:t>The service user’s</w:t>
            </w:r>
            <w:r w:rsidR="008D13CC" w:rsidRPr="005A35B2">
              <w:rPr>
                <w:b/>
              </w:rPr>
              <w:t xml:space="preserve"> voice</w:t>
            </w:r>
            <w:r w:rsidRPr="005A35B2">
              <w:rPr>
                <w:b/>
              </w:rPr>
              <w:t xml:space="preserve"> drives</w:t>
            </w:r>
            <w:r w:rsidR="008D13CC" w:rsidRPr="005A35B2">
              <w:rPr>
                <w:b/>
              </w:rPr>
              <w:t xml:space="preserve"> decisions that impact on their journey </w:t>
            </w:r>
          </w:p>
          <w:p w:rsidR="008D13CC" w:rsidRDefault="008D13CC" w:rsidP="008D13CC">
            <w:r w:rsidRPr="005A35B2">
              <w:t>Users are clear that being listened to is a key element of feeling as though they are being treated with dignity and respect. We should actively agree individualised action plans with users and not make assumptions on what might be best for someone.</w:t>
            </w:r>
          </w:p>
          <w:p w:rsidR="00263695" w:rsidRDefault="00263695" w:rsidP="008D13CC"/>
          <w:p w:rsidR="00263695" w:rsidRPr="005A35B2" w:rsidRDefault="00263695" w:rsidP="008D13CC"/>
          <w:p w:rsidR="0096360B" w:rsidRPr="005A35B2" w:rsidRDefault="0096360B" w:rsidP="00126DA2">
            <w:pPr>
              <w:rPr>
                <w:b/>
              </w:rPr>
            </w:pPr>
          </w:p>
          <w:p w:rsidR="0045001E" w:rsidRPr="005A35B2" w:rsidRDefault="00126DA2" w:rsidP="00126DA2">
            <w:r w:rsidRPr="005A35B2">
              <w:rPr>
                <w:b/>
              </w:rPr>
              <w:t xml:space="preserve">Communicate with  the user about their accessibility requirements </w:t>
            </w:r>
          </w:p>
          <w:p w:rsidR="00126DA2" w:rsidRPr="005A35B2" w:rsidRDefault="0045001E" w:rsidP="00126DA2">
            <w:pPr>
              <w:rPr>
                <w:b/>
              </w:rPr>
            </w:pPr>
            <w:r w:rsidRPr="005A35B2">
              <w:t>U</w:t>
            </w:r>
            <w:r w:rsidR="00126DA2" w:rsidRPr="005A35B2">
              <w:t>nderstand what they want and need, what support can be put in place, and where engaging with another provider could enhance the experience of the service.</w:t>
            </w:r>
          </w:p>
          <w:p w:rsidR="00126DA2" w:rsidRPr="005A35B2" w:rsidRDefault="00126DA2" w:rsidP="00126DA2">
            <w:pPr>
              <w:rPr>
                <w:b/>
              </w:rPr>
            </w:pPr>
          </w:p>
          <w:p w:rsidR="0045001E" w:rsidRPr="005A35B2" w:rsidRDefault="00126DA2" w:rsidP="00126DA2">
            <w:r w:rsidRPr="005A35B2">
              <w:rPr>
                <w:b/>
              </w:rPr>
              <w:t>Provide users with a choice around how they engage</w:t>
            </w:r>
            <w:r w:rsidRPr="005A35B2">
              <w:t xml:space="preserve"> </w:t>
            </w:r>
          </w:p>
          <w:p w:rsidR="00126DA2" w:rsidRPr="005A35B2" w:rsidRDefault="00126DA2" w:rsidP="00126DA2">
            <w:r w:rsidRPr="005A35B2">
              <w:t>Take the time to understand what works best for the user and support this where possible. Remote meetings might work better for those that will face difficulty travelling, or different formats, aids or tools may be required to support others in accessing our services.</w:t>
            </w:r>
            <w:r w:rsidR="008D13CC" w:rsidRPr="005A35B2">
              <w:t xml:space="preserve"> </w:t>
            </w:r>
          </w:p>
          <w:p w:rsidR="00126DA2" w:rsidRPr="005A35B2" w:rsidRDefault="00126DA2" w:rsidP="00126DA2"/>
          <w:p w:rsidR="00126DA2" w:rsidRPr="005A35B2" w:rsidRDefault="00126DA2" w:rsidP="00126DA2"/>
        </w:tc>
      </w:tr>
      <w:tr w:rsidR="007E34B3" w:rsidRPr="005A35B2" w:rsidTr="007E34B3">
        <w:tc>
          <w:tcPr>
            <w:tcW w:w="321" w:type="pct"/>
            <w:vMerge/>
            <w:shd w:val="clear" w:color="auto" w:fill="C5E0B3" w:themeFill="accent6" w:themeFillTint="66"/>
          </w:tcPr>
          <w:p w:rsidR="007E34B3" w:rsidRPr="005A35B2" w:rsidRDefault="007E34B3" w:rsidP="00126DA2">
            <w:pPr>
              <w:rPr>
                <w:b/>
              </w:rPr>
            </w:pPr>
          </w:p>
        </w:tc>
        <w:tc>
          <w:tcPr>
            <w:tcW w:w="2218" w:type="pct"/>
            <w:shd w:val="clear" w:color="auto" w:fill="C5E0B3" w:themeFill="accent6" w:themeFillTint="66"/>
          </w:tcPr>
          <w:p w:rsidR="007E34B3" w:rsidRPr="005A35B2" w:rsidRDefault="007E34B3" w:rsidP="00126DA2">
            <w:pPr>
              <w:rPr>
                <w:b/>
              </w:rPr>
            </w:pPr>
            <w:r w:rsidRPr="005A35B2">
              <w:rPr>
                <w:b/>
              </w:rPr>
              <w:t xml:space="preserve">No One Left Behind Principles </w:t>
            </w:r>
          </w:p>
        </w:tc>
        <w:tc>
          <w:tcPr>
            <w:tcW w:w="2461" w:type="pct"/>
            <w:shd w:val="clear" w:color="auto" w:fill="C5E0B3" w:themeFill="accent6" w:themeFillTint="66"/>
          </w:tcPr>
          <w:p w:rsidR="007E34B3" w:rsidRPr="005A35B2" w:rsidRDefault="0015621F" w:rsidP="00126DA2">
            <w:pPr>
              <w:rPr>
                <w:b/>
              </w:rPr>
            </w:pPr>
            <w:r w:rsidRPr="005A35B2">
              <w:rPr>
                <w:b/>
              </w:rPr>
              <w:t xml:space="preserve">How will we </w:t>
            </w:r>
            <w:r>
              <w:rPr>
                <w:b/>
              </w:rPr>
              <w:t>collectively assess progress</w:t>
            </w:r>
            <w:r w:rsidRPr="005A35B2">
              <w:rPr>
                <w:b/>
              </w:rPr>
              <w:t>?</w:t>
            </w:r>
          </w:p>
        </w:tc>
      </w:tr>
      <w:tr w:rsidR="007E34B3" w:rsidRPr="005A35B2" w:rsidTr="007E34B3">
        <w:tc>
          <w:tcPr>
            <w:tcW w:w="321" w:type="pct"/>
            <w:vMerge/>
            <w:shd w:val="clear" w:color="auto" w:fill="C5E0B3" w:themeFill="accent6" w:themeFillTint="66"/>
          </w:tcPr>
          <w:p w:rsidR="007E34B3" w:rsidRPr="005A35B2" w:rsidRDefault="007E34B3" w:rsidP="00126DA2"/>
        </w:tc>
        <w:tc>
          <w:tcPr>
            <w:tcW w:w="2218" w:type="pct"/>
          </w:tcPr>
          <w:p w:rsidR="007E34B3" w:rsidRPr="005A35B2" w:rsidRDefault="0096360B" w:rsidP="00126DA2">
            <w:pPr>
              <w:rPr>
                <w:b/>
              </w:rPr>
            </w:pPr>
            <w:r>
              <w:rPr>
                <w:b/>
              </w:rPr>
              <w:t>Through delivering this S</w:t>
            </w:r>
            <w:r w:rsidR="007E34B3" w:rsidRPr="005A35B2">
              <w:rPr>
                <w:b/>
              </w:rPr>
              <w:t>tandard in line with the expectations, we’re supporting delivery of the following principles:</w:t>
            </w:r>
          </w:p>
          <w:p w:rsidR="007E34B3" w:rsidRPr="005A35B2" w:rsidRDefault="007E34B3" w:rsidP="00126DA2">
            <w:pPr>
              <w:rPr>
                <w:b/>
              </w:rPr>
            </w:pPr>
          </w:p>
          <w:p w:rsidR="007E34B3" w:rsidRPr="005A35B2" w:rsidRDefault="007E34B3" w:rsidP="00126DA2">
            <w:pPr>
              <w:pStyle w:val="ListParagraph"/>
              <w:numPr>
                <w:ilvl w:val="0"/>
                <w:numId w:val="21"/>
              </w:numPr>
            </w:pPr>
            <w:r w:rsidRPr="005A35B2">
              <w:t xml:space="preserve">A system that provides flexible and person-centred support </w:t>
            </w:r>
          </w:p>
          <w:p w:rsidR="007E34B3" w:rsidRPr="005A35B2" w:rsidRDefault="0096360B" w:rsidP="00126DA2">
            <w:pPr>
              <w:pStyle w:val="ListParagraph"/>
              <w:numPr>
                <w:ilvl w:val="0"/>
                <w:numId w:val="21"/>
              </w:numPr>
            </w:pPr>
            <w:r>
              <w:t>I</w:t>
            </w:r>
            <w:r w:rsidR="007E34B3" w:rsidRPr="005A35B2">
              <w:t>s more straightforward for people to navigate</w:t>
            </w:r>
          </w:p>
          <w:p w:rsidR="007E34B3" w:rsidRPr="005A35B2" w:rsidRDefault="0096360B" w:rsidP="00126DA2">
            <w:pPr>
              <w:pStyle w:val="ListParagraph"/>
              <w:numPr>
                <w:ilvl w:val="0"/>
                <w:numId w:val="21"/>
              </w:numPr>
            </w:pPr>
            <w:r>
              <w:t>I</w:t>
            </w:r>
            <w:r w:rsidR="007E34B3" w:rsidRPr="005A35B2">
              <w:t>s better integrated and aligned with other services, in particular, although not exclusively with health provision</w:t>
            </w:r>
          </w:p>
          <w:p w:rsidR="007E34B3" w:rsidRPr="005A35B2" w:rsidRDefault="0096360B" w:rsidP="007E34B3">
            <w:pPr>
              <w:pStyle w:val="ListParagraph"/>
              <w:numPr>
                <w:ilvl w:val="0"/>
                <w:numId w:val="21"/>
              </w:numPr>
            </w:pPr>
            <w:r>
              <w:t>P</w:t>
            </w:r>
            <w:r w:rsidR="007E34B3" w:rsidRPr="005A35B2">
              <w:t>rovides pathways into sustainable and fair work</w:t>
            </w:r>
          </w:p>
          <w:p w:rsidR="007E34B3" w:rsidRPr="005A35B2" w:rsidRDefault="0096360B" w:rsidP="007E34B3">
            <w:pPr>
              <w:pStyle w:val="ListParagraph"/>
              <w:numPr>
                <w:ilvl w:val="0"/>
                <w:numId w:val="21"/>
              </w:numPr>
            </w:pPr>
            <w:r>
              <w:t>I</w:t>
            </w:r>
            <w:r w:rsidR="007E34B3" w:rsidRPr="005A35B2">
              <w:t>s driven by evidence, including data and the experience of users</w:t>
            </w:r>
          </w:p>
          <w:p w:rsidR="007E34B3" w:rsidRPr="005A35B2" w:rsidRDefault="0096360B" w:rsidP="007E34B3">
            <w:pPr>
              <w:pStyle w:val="ListParagraph"/>
              <w:numPr>
                <w:ilvl w:val="0"/>
                <w:numId w:val="21"/>
              </w:numPr>
            </w:pPr>
            <w:r>
              <w:t>Supporting</w:t>
            </w:r>
            <w:r w:rsidR="007E34B3" w:rsidRPr="005A35B2">
              <w:t xml:space="preserve"> more people – particularly those facing multiple barriers – to move into the right job, at the right time</w:t>
            </w:r>
          </w:p>
        </w:tc>
        <w:tc>
          <w:tcPr>
            <w:tcW w:w="2461" w:type="pct"/>
          </w:tcPr>
          <w:p w:rsidR="007E34B3" w:rsidRPr="005A35B2" w:rsidRDefault="007E34B3" w:rsidP="00126DA2"/>
          <w:p w:rsidR="007E34B3" w:rsidRPr="005A35B2" w:rsidRDefault="007E34B3" w:rsidP="007E34B3">
            <w:pPr>
              <w:pStyle w:val="ListParagraph"/>
              <w:ind w:left="0"/>
              <w:rPr>
                <w:b/>
                <w:u w:val="single"/>
              </w:rPr>
            </w:pPr>
            <w:r w:rsidRPr="005A35B2">
              <w:rPr>
                <w:b/>
                <w:u w:val="single"/>
              </w:rPr>
              <w:t>Quarterly</w:t>
            </w:r>
          </w:p>
          <w:p w:rsidR="00B45C14" w:rsidRPr="005A35B2" w:rsidRDefault="0015621F" w:rsidP="00711FF1">
            <w:pPr>
              <w:pStyle w:val="ListParagraph"/>
              <w:numPr>
                <w:ilvl w:val="0"/>
                <w:numId w:val="21"/>
              </w:numPr>
              <w:rPr>
                <w:b/>
                <w:u w:val="single"/>
              </w:rPr>
            </w:pPr>
            <w:r>
              <w:t>Shared Measurement Framework</w:t>
            </w:r>
          </w:p>
          <w:p w:rsidR="007E34B3" w:rsidRPr="005A35B2" w:rsidRDefault="007E34B3" w:rsidP="007E34B3">
            <w:pPr>
              <w:rPr>
                <w:b/>
                <w:u w:val="single"/>
              </w:rPr>
            </w:pPr>
          </w:p>
          <w:p w:rsidR="00B45C14" w:rsidRPr="005A35B2" w:rsidRDefault="007E34B3" w:rsidP="007E34B3">
            <w:pPr>
              <w:rPr>
                <w:b/>
                <w:u w:val="single"/>
              </w:rPr>
            </w:pPr>
            <w:r w:rsidRPr="005A35B2">
              <w:rPr>
                <w:b/>
                <w:u w:val="single"/>
              </w:rPr>
              <w:t>Annual</w:t>
            </w:r>
          </w:p>
          <w:p w:rsidR="00711FF1" w:rsidRPr="005A35B2" w:rsidRDefault="00711FF1" w:rsidP="00711FF1">
            <w:pPr>
              <w:pStyle w:val="ListParagraph"/>
              <w:numPr>
                <w:ilvl w:val="0"/>
                <w:numId w:val="21"/>
              </w:numPr>
              <w:rPr>
                <w:b/>
                <w:u w:val="single"/>
              </w:rPr>
            </w:pPr>
            <w:r>
              <w:t>Annual Delivery</w:t>
            </w:r>
            <w:r w:rsidRPr="005A35B2">
              <w:t xml:space="preserve"> Reports </w:t>
            </w:r>
          </w:p>
          <w:p w:rsidR="007E34B3" w:rsidRPr="005A35B2" w:rsidRDefault="00B45C14" w:rsidP="00711FF1">
            <w:pPr>
              <w:pStyle w:val="ListParagraph"/>
              <w:numPr>
                <w:ilvl w:val="0"/>
                <w:numId w:val="21"/>
              </w:numPr>
            </w:pPr>
            <w:r w:rsidRPr="005A35B2">
              <w:t>Independent evaluation activity</w:t>
            </w:r>
          </w:p>
        </w:tc>
      </w:tr>
    </w:tbl>
    <w:p w:rsidR="005760DB" w:rsidRDefault="005760DB" w:rsidP="00263695">
      <w:pPr>
        <w:tabs>
          <w:tab w:val="left" w:pos="1380"/>
        </w:tabs>
      </w:pPr>
    </w:p>
    <w:p w:rsidR="003413E3" w:rsidRPr="005A35B2" w:rsidRDefault="003413E3" w:rsidP="00263695">
      <w:pPr>
        <w:tabs>
          <w:tab w:val="left" w:pos="1380"/>
        </w:tabs>
      </w:pPr>
    </w:p>
    <w:tbl>
      <w:tblPr>
        <w:tblStyle w:val="TableGrid"/>
        <w:tblW w:w="5001" w:type="pct"/>
        <w:tblCellMar>
          <w:top w:w="113" w:type="dxa"/>
          <w:bottom w:w="113" w:type="dxa"/>
        </w:tblCellMar>
        <w:tblLook w:val="04A0" w:firstRow="1" w:lastRow="0" w:firstColumn="1" w:lastColumn="0" w:noHBand="0" w:noVBand="1"/>
      </w:tblPr>
      <w:tblGrid>
        <w:gridCol w:w="985"/>
        <w:gridCol w:w="6806"/>
        <w:gridCol w:w="7600"/>
      </w:tblGrid>
      <w:tr w:rsidR="00126DA2" w:rsidRPr="005A35B2" w:rsidTr="00F53ED1">
        <w:trPr>
          <w:trHeight w:val="276"/>
        </w:trPr>
        <w:tc>
          <w:tcPr>
            <w:tcW w:w="5000" w:type="pct"/>
            <w:gridSpan w:val="3"/>
            <w:tcBorders>
              <w:bottom w:val="nil"/>
            </w:tcBorders>
            <w:shd w:val="clear" w:color="auto" w:fill="BDD6EE" w:themeFill="accent1" w:themeFillTint="66"/>
          </w:tcPr>
          <w:p w:rsidR="00126DA2" w:rsidRPr="005A35B2" w:rsidRDefault="007E34B3" w:rsidP="00126DA2">
            <w:pPr>
              <w:pStyle w:val="Heading2"/>
            </w:pPr>
            <w:bookmarkStart w:id="8" w:name="_Toc88227472"/>
            <w:r w:rsidRPr="005A35B2">
              <w:t>Standard 3</w:t>
            </w:r>
            <w:r w:rsidR="00126DA2" w:rsidRPr="005A35B2">
              <w:t xml:space="preserve"> - </w:t>
            </w:r>
            <w:r w:rsidRPr="005A35B2">
              <w:t>Our services learn and improve</w:t>
            </w:r>
            <w:bookmarkEnd w:id="8"/>
          </w:p>
        </w:tc>
      </w:tr>
      <w:tr w:rsidR="00126DA2" w:rsidRPr="005A35B2" w:rsidTr="00F53ED1">
        <w:tc>
          <w:tcPr>
            <w:tcW w:w="320" w:type="pct"/>
            <w:vMerge w:val="restart"/>
            <w:tcBorders>
              <w:top w:val="nil"/>
            </w:tcBorders>
            <w:shd w:val="clear" w:color="auto" w:fill="BDD6EE" w:themeFill="accent1" w:themeFillTint="66"/>
            <w:textDirection w:val="btLr"/>
            <w:vAlign w:val="center"/>
          </w:tcPr>
          <w:p w:rsidR="00126DA2" w:rsidRPr="005A35B2" w:rsidRDefault="00126DA2" w:rsidP="00126DA2">
            <w:pPr>
              <w:ind w:left="113" w:right="113"/>
              <w:jc w:val="center"/>
              <w:rPr>
                <w:b/>
              </w:rPr>
            </w:pPr>
          </w:p>
        </w:tc>
        <w:tc>
          <w:tcPr>
            <w:tcW w:w="4680" w:type="pct"/>
            <w:gridSpan w:val="2"/>
            <w:tcBorders>
              <w:top w:val="single" w:sz="4" w:space="0" w:color="auto"/>
            </w:tcBorders>
            <w:shd w:val="clear" w:color="auto" w:fill="BFBFBF" w:themeFill="background1" w:themeFillShade="BF"/>
          </w:tcPr>
          <w:p w:rsidR="00126DA2" w:rsidRPr="005A35B2" w:rsidRDefault="00126DA2" w:rsidP="00126DA2">
            <w:pPr>
              <w:jc w:val="center"/>
            </w:pPr>
            <w:r w:rsidRPr="005A35B2">
              <w:rPr>
                <w:b/>
              </w:rPr>
              <w:t>Why is this important?</w:t>
            </w:r>
          </w:p>
        </w:tc>
      </w:tr>
      <w:tr w:rsidR="00126DA2" w:rsidRPr="005A35B2" w:rsidTr="007F1A40">
        <w:trPr>
          <w:trHeight w:val="3606"/>
        </w:trPr>
        <w:tc>
          <w:tcPr>
            <w:tcW w:w="320" w:type="pct"/>
            <w:vMerge/>
            <w:shd w:val="clear" w:color="auto" w:fill="BDD6EE" w:themeFill="accent1" w:themeFillTint="66"/>
          </w:tcPr>
          <w:p w:rsidR="00126DA2" w:rsidRPr="005A35B2" w:rsidRDefault="00126DA2" w:rsidP="00126DA2"/>
        </w:tc>
        <w:tc>
          <w:tcPr>
            <w:tcW w:w="4680" w:type="pct"/>
            <w:gridSpan w:val="2"/>
          </w:tcPr>
          <w:p w:rsidR="00126DA2" w:rsidRPr="005A35B2" w:rsidRDefault="00126DA2" w:rsidP="00126DA2">
            <w:r w:rsidRPr="005A35B2">
              <w:t xml:space="preserve">Services shouldn’t be static and unchanging – no matter how effective we are at delivering, driving improvement should be a priority. Service providers should strive to continuously improve on users’ experiences and outcomes when engaging with their services. </w:t>
            </w:r>
            <w:r w:rsidR="00263695">
              <w:t>Continually</w:t>
            </w:r>
            <w:r w:rsidR="0096360B">
              <w:t xml:space="preserve"> improving s</w:t>
            </w:r>
            <w:r w:rsidRPr="005A35B2">
              <w:t xml:space="preserve">ervices is also entirely consistent with the </w:t>
            </w:r>
            <w:r w:rsidR="007F1DFB">
              <w:t>SAtSD</w:t>
            </w:r>
            <w:r w:rsidR="006B278F" w:rsidRPr="005A35B2">
              <w:t xml:space="preserve"> and the expectations set out under </w:t>
            </w:r>
            <w:r w:rsidR="002E0BB7">
              <w:t>S</w:t>
            </w:r>
            <w:r w:rsidR="006B278F" w:rsidRPr="005A35B2">
              <w:t>tandard 1 and 2</w:t>
            </w:r>
            <w:r w:rsidRPr="005A35B2">
              <w:t>.</w:t>
            </w:r>
          </w:p>
          <w:p w:rsidR="00126DA2" w:rsidRPr="005A35B2" w:rsidRDefault="00126DA2" w:rsidP="00126DA2"/>
          <w:p w:rsidR="00126DA2" w:rsidRPr="005A35B2" w:rsidRDefault="00126DA2" w:rsidP="00F53ED1">
            <w:r w:rsidRPr="005A35B2">
              <w:t>Improving services should not be left to chance. It’s important to have a clear process in place to</w:t>
            </w:r>
            <w:r w:rsidR="007F1DFB">
              <w:t xml:space="preserve"> identify, </w:t>
            </w:r>
            <w:r w:rsidRPr="005A35B2">
              <w:t>plan and deliver improvements</w:t>
            </w:r>
            <w:r w:rsidR="0096360B">
              <w:t>, and elicit data and evidence, including user feedback, to do so</w:t>
            </w:r>
            <w:r w:rsidRPr="005A35B2">
              <w:t xml:space="preserve">. The </w:t>
            </w:r>
            <w:hyperlink r:id="rId28" w:history="1">
              <w:r w:rsidRPr="005A35B2">
                <w:rPr>
                  <w:rStyle w:val="Hyperlink"/>
                </w:rPr>
                <w:t xml:space="preserve">Continuous Improvement </w:t>
              </w:r>
              <w:r w:rsidR="00F53ED1" w:rsidRPr="005A35B2">
                <w:rPr>
                  <w:rStyle w:val="Hyperlink"/>
                </w:rPr>
                <w:t>Toolkit</w:t>
              </w:r>
            </w:hyperlink>
            <w:r w:rsidRPr="005A35B2">
              <w:t xml:space="preserve"> has been developed to support us with this. Leaders should aspire to nurture an improvement orientated culture within their services and organisations, ensuring all staff are aware of their role and are empowered to drive improvements effectively.</w:t>
            </w:r>
          </w:p>
          <w:p w:rsidR="007E34B3" w:rsidRPr="005A35B2" w:rsidRDefault="007E34B3" w:rsidP="00F53ED1"/>
          <w:p w:rsidR="007E34B3" w:rsidRPr="005A35B2" w:rsidRDefault="00E7721B" w:rsidP="00F53ED1">
            <w:r w:rsidRPr="005A35B2">
              <w:t>Insight from users has also highlighted the significance of the people working in our services. Those delivering directly with users can have a prof</w:t>
            </w:r>
            <w:r w:rsidR="00E20FF0" w:rsidRPr="005A35B2">
              <w:t>ound impact on how someone perceives a service and whether they feel it helps them achieve their goals.</w:t>
            </w:r>
            <w:r w:rsidR="0045001E" w:rsidRPr="005A35B2">
              <w:t xml:space="preserve"> As such w</w:t>
            </w:r>
            <w:r w:rsidR="007E34B3" w:rsidRPr="005A35B2">
              <w:t>e</w:t>
            </w:r>
            <w:r w:rsidR="0045001E" w:rsidRPr="005A35B2">
              <w:t xml:space="preserve"> </w:t>
            </w:r>
            <w:r w:rsidR="007E34B3" w:rsidRPr="005A35B2">
              <w:t>need to ensure staff working in services have access to the training they require and the support they need to develop high standards of practice. We also want staff to feel empowered, motivated, confident and valued. This requires leadership within organisations delivering No One Left Behind services to support a culture of continued learning, development, and reflective practice.</w:t>
            </w:r>
          </w:p>
        </w:tc>
      </w:tr>
      <w:tr w:rsidR="007E34B3" w:rsidRPr="005A35B2" w:rsidTr="007E34B3">
        <w:trPr>
          <w:trHeight w:val="207"/>
        </w:trPr>
        <w:tc>
          <w:tcPr>
            <w:tcW w:w="320" w:type="pct"/>
            <w:vMerge/>
            <w:shd w:val="clear" w:color="auto" w:fill="BDD6EE" w:themeFill="accent1" w:themeFillTint="66"/>
          </w:tcPr>
          <w:p w:rsidR="007E34B3" w:rsidRPr="005A35B2" w:rsidRDefault="007E34B3" w:rsidP="00126DA2">
            <w:pPr>
              <w:rPr>
                <w:b/>
              </w:rPr>
            </w:pPr>
          </w:p>
        </w:tc>
        <w:tc>
          <w:tcPr>
            <w:tcW w:w="2211" w:type="pct"/>
            <w:shd w:val="clear" w:color="auto" w:fill="BFBFBF" w:themeFill="background1" w:themeFillShade="BF"/>
          </w:tcPr>
          <w:p w:rsidR="007E34B3" w:rsidRPr="005A35B2" w:rsidRDefault="00B45C14" w:rsidP="00B45C14">
            <w:pPr>
              <w:jc w:val="center"/>
              <w:rPr>
                <w:b/>
              </w:rPr>
            </w:pPr>
            <w:r w:rsidRPr="005A35B2">
              <w:rPr>
                <w:b/>
              </w:rPr>
              <w:t>Local Employability Partnership e</w:t>
            </w:r>
            <w:r w:rsidR="007E34B3" w:rsidRPr="005A35B2">
              <w:rPr>
                <w:b/>
              </w:rPr>
              <w:t>xpectations</w:t>
            </w:r>
          </w:p>
        </w:tc>
        <w:tc>
          <w:tcPr>
            <w:tcW w:w="2469" w:type="pct"/>
            <w:shd w:val="clear" w:color="auto" w:fill="BFBFBF" w:themeFill="background1" w:themeFillShade="BF"/>
          </w:tcPr>
          <w:p w:rsidR="007E34B3" w:rsidRPr="005A35B2" w:rsidRDefault="007E34B3" w:rsidP="00B45C14">
            <w:pPr>
              <w:jc w:val="center"/>
              <w:rPr>
                <w:b/>
              </w:rPr>
            </w:pPr>
            <w:r w:rsidRPr="005A35B2">
              <w:rPr>
                <w:b/>
              </w:rPr>
              <w:t xml:space="preserve">Service </w:t>
            </w:r>
            <w:r w:rsidR="00B45C14" w:rsidRPr="005A35B2">
              <w:rPr>
                <w:b/>
              </w:rPr>
              <w:t>p</w:t>
            </w:r>
            <w:r w:rsidR="00E20FF0" w:rsidRPr="005A35B2">
              <w:rPr>
                <w:b/>
              </w:rPr>
              <w:t>rovider e</w:t>
            </w:r>
            <w:r w:rsidRPr="005A35B2">
              <w:rPr>
                <w:b/>
              </w:rPr>
              <w:t>xpectations</w:t>
            </w:r>
          </w:p>
        </w:tc>
      </w:tr>
      <w:tr w:rsidR="007E34B3" w:rsidRPr="005A35B2" w:rsidTr="007E34B3">
        <w:trPr>
          <w:trHeight w:val="2720"/>
        </w:trPr>
        <w:tc>
          <w:tcPr>
            <w:tcW w:w="320" w:type="pct"/>
            <w:vMerge/>
            <w:shd w:val="clear" w:color="auto" w:fill="BDD6EE" w:themeFill="accent1" w:themeFillTint="66"/>
          </w:tcPr>
          <w:p w:rsidR="007E34B3" w:rsidRPr="005A35B2" w:rsidRDefault="007E34B3" w:rsidP="00126DA2">
            <w:pPr>
              <w:rPr>
                <w:b/>
              </w:rPr>
            </w:pPr>
          </w:p>
        </w:tc>
        <w:tc>
          <w:tcPr>
            <w:tcW w:w="2211" w:type="pct"/>
            <w:shd w:val="clear" w:color="auto" w:fill="FFFFFF" w:themeFill="background1"/>
          </w:tcPr>
          <w:p w:rsidR="007E34B3" w:rsidRPr="005A35B2" w:rsidRDefault="007E34B3" w:rsidP="00126DA2">
            <w:pPr>
              <w:rPr>
                <w:b/>
              </w:rPr>
            </w:pPr>
            <w:r w:rsidRPr="005A35B2">
              <w:rPr>
                <w:b/>
              </w:rPr>
              <w:t>Create the conditions for improvement</w:t>
            </w:r>
          </w:p>
          <w:p w:rsidR="007E34B3" w:rsidRPr="005A35B2" w:rsidRDefault="007E34B3" w:rsidP="00126DA2">
            <w:r w:rsidRPr="005A35B2">
              <w:t xml:space="preserve">Providers need to be delivering in a context that allows them to drive innovation through improvements. Without having the right culture in place to achieve this, to feel comfortable with trying new approaches, failing, and learning, the effectiveness of </w:t>
            </w:r>
            <w:r w:rsidR="0096360B">
              <w:t>c</w:t>
            </w:r>
            <w:r w:rsidRPr="005A35B2">
              <w:t>o</w:t>
            </w:r>
            <w:r w:rsidR="0096360B">
              <w:t>ntinuous i</w:t>
            </w:r>
            <w:r w:rsidRPr="005A35B2">
              <w:t>mprovement will likely be limited.</w:t>
            </w:r>
          </w:p>
          <w:p w:rsidR="00876DF9" w:rsidRPr="005A35B2" w:rsidRDefault="00876DF9" w:rsidP="00126DA2"/>
          <w:p w:rsidR="00876DF9" w:rsidRPr="005A35B2" w:rsidRDefault="00876DF9" w:rsidP="00876DF9">
            <w:r w:rsidRPr="005A35B2">
              <w:rPr>
                <w:b/>
                <w:bCs/>
              </w:rPr>
              <w:t>Have a clear complaints</w:t>
            </w:r>
            <w:r w:rsidR="005A35B2">
              <w:rPr>
                <w:b/>
                <w:bCs/>
              </w:rPr>
              <w:t xml:space="preserve"> and feedback</w:t>
            </w:r>
            <w:r w:rsidRPr="005A35B2">
              <w:rPr>
                <w:b/>
                <w:bCs/>
              </w:rPr>
              <w:t xml:space="preserve"> process</w:t>
            </w:r>
            <w:r w:rsidR="005A35B2">
              <w:rPr>
                <w:b/>
                <w:bCs/>
              </w:rPr>
              <w:t xml:space="preserve"> locally</w:t>
            </w:r>
          </w:p>
          <w:p w:rsidR="00876DF9" w:rsidRPr="005A35B2" w:rsidRDefault="00876DF9" w:rsidP="00876DF9">
            <w:r w:rsidRPr="005A35B2">
              <w:t xml:space="preserve">We learn as much from things that don’t work as we do from those that do. </w:t>
            </w:r>
            <w:r w:rsidR="007F1DFB">
              <w:t>Partners</w:t>
            </w:r>
            <w:r w:rsidR="007F1DFB" w:rsidRPr="005A35B2">
              <w:t xml:space="preserve"> </w:t>
            </w:r>
            <w:r w:rsidRPr="005A35B2">
              <w:t>need to know when things aren’t working as much as when things are.</w:t>
            </w:r>
          </w:p>
          <w:p w:rsidR="00876DF9" w:rsidRDefault="00876DF9" w:rsidP="00126DA2"/>
          <w:p w:rsidR="00263695" w:rsidRPr="005A35B2" w:rsidRDefault="00263695" w:rsidP="00126DA2"/>
          <w:p w:rsidR="007E34B3" w:rsidRPr="005A35B2" w:rsidRDefault="007E34B3" w:rsidP="00126DA2">
            <w:pPr>
              <w:rPr>
                <w:b/>
              </w:rPr>
            </w:pPr>
          </w:p>
          <w:p w:rsidR="007E34B3" w:rsidRPr="005A35B2" w:rsidRDefault="007E34B3" w:rsidP="00126DA2">
            <w:pPr>
              <w:rPr>
                <w:b/>
              </w:rPr>
            </w:pPr>
            <w:r w:rsidRPr="005A35B2">
              <w:rPr>
                <w:b/>
              </w:rPr>
              <w:t>Spread Improvements</w:t>
            </w:r>
          </w:p>
          <w:p w:rsidR="0045001E" w:rsidRPr="005A35B2" w:rsidRDefault="007E34B3" w:rsidP="00126DA2">
            <w:r w:rsidRPr="005A35B2">
              <w:t xml:space="preserve">Delivering an improvement is no mean feat – when an improvement has been successfully delivered this should be celebrated and shared across </w:t>
            </w:r>
            <w:r w:rsidR="007F1DFB">
              <w:t>services</w:t>
            </w:r>
            <w:r w:rsidRPr="005A35B2">
              <w:t xml:space="preserve"> where possible. Learning and experience should also be shared more widely to spread improvement ideas across the employability landscape.</w:t>
            </w:r>
          </w:p>
          <w:p w:rsidR="006B278F" w:rsidRPr="005A35B2" w:rsidRDefault="006B278F" w:rsidP="00126DA2"/>
          <w:p w:rsidR="007E34B3" w:rsidRPr="005A35B2" w:rsidRDefault="0045001E" w:rsidP="007E34B3">
            <w:pPr>
              <w:rPr>
                <w:b/>
              </w:rPr>
            </w:pPr>
            <w:r w:rsidRPr="005A35B2">
              <w:rPr>
                <w:b/>
              </w:rPr>
              <w:t>Establish</w:t>
            </w:r>
            <w:r w:rsidR="007E34B3" w:rsidRPr="005A35B2">
              <w:rPr>
                <w:b/>
              </w:rPr>
              <w:t xml:space="preserve"> </w:t>
            </w:r>
            <w:r w:rsidRPr="005A35B2">
              <w:rPr>
                <w:b/>
              </w:rPr>
              <w:t xml:space="preserve">training requirements  </w:t>
            </w:r>
          </w:p>
          <w:p w:rsidR="007E34B3" w:rsidRPr="005A35B2" w:rsidRDefault="007E34B3" w:rsidP="007E34B3">
            <w:r w:rsidRPr="005A35B2">
              <w:t xml:space="preserve">Identify the needs of your users and </w:t>
            </w:r>
            <w:r w:rsidR="0045001E" w:rsidRPr="005A35B2">
              <w:t>set expectations of training that support the workforce in your area to develop the skills to meet these</w:t>
            </w:r>
            <w:r w:rsidRPr="005A35B2">
              <w:t>. Thought should also be given to equalities and how awareness of different circumstances can be raised even in non-specialist staff. Feedback and input from staff should be encouraged in developing programmes of training.</w:t>
            </w:r>
          </w:p>
          <w:p w:rsidR="007E34B3" w:rsidRPr="005A35B2" w:rsidRDefault="007E34B3" w:rsidP="00126DA2"/>
        </w:tc>
        <w:tc>
          <w:tcPr>
            <w:tcW w:w="2469" w:type="pct"/>
            <w:shd w:val="clear" w:color="auto" w:fill="FFFFFF" w:themeFill="background1"/>
          </w:tcPr>
          <w:p w:rsidR="007E34B3" w:rsidRPr="005A35B2" w:rsidRDefault="007E34B3" w:rsidP="00126DA2">
            <w:pPr>
              <w:rPr>
                <w:b/>
              </w:rPr>
            </w:pPr>
            <w:r w:rsidRPr="005A35B2">
              <w:rPr>
                <w:b/>
              </w:rPr>
              <w:t>Drive service level improvements</w:t>
            </w:r>
          </w:p>
          <w:p w:rsidR="007E34B3" w:rsidRPr="005A35B2" w:rsidRDefault="007E34B3" w:rsidP="00126DA2">
            <w:r w:rsidRPr="005A35B2">
              <w:t xml:space="preserve">Resources devoted to driving improvement should be seen as an investment in service quality. Processes for </w:t>
            </w:r>
            <w:r w:rsidR="006A262E" w:rsidRPr="005A35B2">
              <w:t>s</w:t>
            </w:r>
            <w:r w:rsidRPr="005A35B2">
              <w:t>taff to discuss, plan and deliver improvements should be built in, with freedom given for innovation and testing new ideas. It must also be recognised that this won’t always lead to an improvement, but that is simply part of the process.</w:t>
            </w:r>
          </w:p>
          <w:p w:rsidR="007E34B3" w:rsidRPr="005A35B2" w:rsidRDefault="007E34B3" w:rsidP="00126DA2"/>
          <w:p w:rsidR="007E34B3" w:rsidRPr="005A35B2" w:rsidRDefault="007E34B3" w:rsidP="007E34B3">
            <w:pPr>
              <w:rPr>
                <w:b/>
              </w:rPr>
            </w:pPr>
            <w:r w:rsidRPr="005A35B2">
              <w:rPr>
                <w:b/>
              </w:rPr>
              <w:t>Support personal development of staff</w:t>
            </w:r>
          </w:p>
          <w:p w:rsidR="007E34B3" w:rsidRPr="005A35B2" w:rsidRDefault="007E34B3" w:rsidP="007E34B3">
            <w:r w:rsidRPr="005A35B2">
              <w:t>View personal development as a core aspect of the role</w:t>
            </w:r>
            <w:r w:rsidR="008D13CC" w:rsidRPr="005A35B2">
              <w:t xml:space="preserve"> and a necessary element of ensuring the workforce can deliver services that </w:t>
            </w:r>
            <w:r w:rsidR="0096360B">
              <w:t>meet these S</w:t>
            </w:r>
            <w:r w:rsidR="008D13CC" w:rsidRPr="005A35B2">
              <w:t xml:space="preserve">tandards. This will require </w:t>
            </w:r>
            <w:r w:rsidR="0045001E" w:rsidRPr="005A35B2">
              <w:t xml:space="preserve">staff being supported to have space to reflect on </w:t>
            </w:r>
            <w:r w:rsidR="006B278F" w:rsidRPr="005A35B2">
              <w:t xml:space="preserve">their practice to identify areas for development, increase self-awareness and improve ability to deal with challenges in future.  </w:t>
            </w:r>
          </w:p>
          <w:p w:rsidR="0045001E" w:rsidRPr="005A35B2" w:rsidRDefault="0045001E" w:rsidP="007E34B3"/>
          <w:p w:rsidR="0045001E" w:rsidRPr="005A35B2" w:rsidRDefault="0045001E" w:rsidP="0045001E">
            <w:pPr>
              <w:rPr>
                <w:b/>
              </w:rPr>
            </w:pPr>
            <w:r w:rsidRPr="005A35B2">
              <w:rPr>
                <w:b/>
              </w:rPr>
              <w:t>Embed Lived Experience in training</w:t>
            </w:r>
          </w:p>
          <w:p w:rsidR="0045001E" w:rsidRPr="005A35B2" w:rsidRDefault="0045001E" w:rsidP="0045001E">
            <w:r w:rsidRPr="005A35B2">
              <w:t>Training shouldn’t be seen as a box to be ticked, but rather something that adds value to the service. Where training is focussed on the particular barriers or characteristics, support from advocacy or specialist organisations should be sought to ensure delivery embeds lived experience and does not replicate problematic practices.</w:t>
            </w:r>
          </w:p>
          <w:p w:rsidR="007E34B3" w:rsidRPr="005A35B2" w:rsidRDefault="007E34B3" w:rsidP="00126DA2"/>
          <w:p w:rsidR="007E34B3" w:rsidRPr="005A35B2" w:rsidRDefault="007E34B3" w:rsidP="0045001E">
            <w:pPr>
              <w:rPr>
                <w:b/>
              </w:rPr>
            </w:pPr>
          </w:p>
        </w:tc>
      </w:tr>
      <w:tr w:rsidR="007E34B3" w:rsidRPr="005A35B2" w:rsidTr="007E34B3">
        <w:tc>
          <w:tcPr>
            <w:tcW w:w="320" w:type="pct"/>
            <w:vMerge/>
            <w:shd w:val="clear" w:color="auto" w:fill="BDD6EE" w:themeFill="accent1" w:themeFillTint="66"/>
          </w:tcPr>
          <w:p w:rsidR="007E34B3" w:rsidRPr="005A35B2" w:rsidRDefault="007E34B3" w:rsidP="00126DA2">
            <w:pPr>
              <w:rPr>
                <w:b/>
              </w:rPr>
            </w:pPr>
          </w:p>
        </w:tc>
        <w:tc>
          <w:tcPr>
            <w:tcW w:w="2211" w:type="pct"/>
            <w:shd w:val="clear" w:color="auto" w:fill="BDD6EE" w:themeFill="accent1" w:themeFillTint="66"/>
          </w:tcPr>
          <w:p w:rsidR="007E34B3" w:rsidRPr="005A35B2" w:rsidRDefault="007E34B3" w:rsidP="00126DA2">
            <w:pPr>
              <w:rPr>
                <w:b/>
              </w:rPr>
            </w:pPr>
            <w:r w:rsidRPr="005A35B2">
              <w:rPr>
                <w:b/>
              </w:rPr>
              <w:t xml:space="preserve">No One Left Behind Principles </w:t>
            </w:r>
          </w:p>
        </w:tc>
        <w:tc>
          <w:tcPr>
            <w:tcW w:w="2469" w:type="pct"/>
            <w:shd w:val="clear" w:color="auto" w:fill="BDD6EE" w:themeFill="accent1" w:themeFillTint="66"/>
          </w:tcPr>
          <w:p w:rsidR="007E34B3" w:rsidRPr="005A35B2" w:rsidRDefault="0015621F" w:rsidP="00126DA2">
            <w:pPr>
              <w:rPr>
                <w:b/>
              </w:rPr>
            </w:pPr>
            <w:r w:rsidRPr="005A35B2">
              <w:rPr>
                <w:b/>
              </w:rPr>
              <w:t xml:space="preserve">How will we </w:t>
            </w:r>
            <w:r>
              <w:rPr>
                <w:b/>
              </w:rPr>
              <w:t>collectively assess progress</w:t>
            </w:r>
            <w:r w:rsidRPr="005A35B2">
              <w:rPr>
                <w:b/>
              </w:rPr>
              <w:t>?</w:t>
            </w:r>
          </w:p>
        </w:tc>
      </w:tr>
      <w:tr w:rsidR="007E34B3" w:rsidRPr="005A35B2" w:rsidTr="007E34B3">
        <w:tc>
          <w:tcPr>
            <w:tcW w:w="320" w:type="pct"/>
            <w:vMerge/>
            <w:shd w:val="clear" w:color="auto" w:fill="BDD6EE" w:themeFill="accent1" w:themeFillTint="66"/>
          </w:tcPr>
          <w:p w:rsidR="007E34B3" w:rsidRPr="005A35B2" w:rsidRDefault="007E34B3" w:rsidP="00126DA2"/>
        </w:tc>
        <w:tc>
          <w:tcPr>
            <w:tcW w:w="2211" w:type="pct"/>
          </w:tcPr>
          <w:p w:rsidR="007E34B3" w:rsidRPr="005A35B2" w:rsidRDefault="0096360B" w:rsidP="00126DA2">
            <w:pPr>
              <w:rPr>
                <w:b/>
              </w:rPr>
            </w:pPr>
            <w:r>
              <w:rPr>
                <w:b/>
              </w:rPr>
              <w:t>Through delivering this S</w:t>
            </w:r>
            <w:r w:rsidR="007E34B3" w:rsidRPr="005A35B2">
              <w:rPr>
                <w:b/>
              </w:rPr>
              <w:t>tandard in line with the expectations, we’re supporting delivery of the following principles:</w:t>
            </w:r>
          </w:p>
          <w:p w:rsidR="007E34B3" w:rsidRPr="005A35B2" w:rsidRDefault="007E34B3" w:rsidP="00126DA2">
            <w:pPr>
              <w:rPr>
                <w:b/>
              </w:rPr>
            </w:pPr>
          </w:p>
          <w:p w:rsidR="007E34B3" w:rsidRPr="005A35B2" w:rsidRDefault="007E34B3" w:rsidP="007E34B3">
            <w:pPr>
              <w:pStyle w:val="ListParagraph"/>
              <w:numPr>
                <w:ilvl w:val="0"/>
                <w:numId w:val="11"/>
              </w:numPr>
              <w:rPr>
                <w:b/>
              </w:rPr>
            </w:pPr>
            <w:r w:rsidRPr="005A35B2">
              <w:t>is driven by evidence, including data and the experience of users</w:t>
            </w:r>
          </w:p>
          <w:p w:rsidR="007E34B3" w:rsidRPr="005A35B2" w:rsidRDefault="007E34B3" w:rsidP="00126DA2">
            <w:pPr>
              <w:rPr>
                <w:b/>
              </w:rPr>
            </w:pPr>
          </w:p>
        </w:tc>
        <w:tc>
          <w:tcPr>
            <w:tcW w:w="2469" w:type="pct"/>
          </w:tcPr>
          <w:p w:rsidR="007E34B3" w:rsidRPr="005A35B2" w:rsidRDefault="007E34B3" w:rsidP="007E34B3">
            <w:pPr>
              <w:rPr>
                <w:b/>
                <w:u w:val="single"/>
              </w:rPr>
            </w:pPr>
          </w:p>
          <w:p w:rsidR="00B45C14" w:rsidRPr="005A35B2" w:rsidRDefault="007E34B3" w:rsidP="007E34B3">
            <w:pPr>
              <w:rPr>
                <w:b/>
                <w:u w:val="single"/>
              </w:rPr>
            </w:pPr>
            <w:r w:rsidRPr="005A35B2">
              <w:rPr>
                <w:b/>
                <w:u w:val="single"/>
              </w:rPr>
              <w:t>Annual</w:t>
            </w:r>
          </w:p>
          <w:p w:rsidR="00711FF1" w:rsidRPr="005A35B2" w:rsidRDefault="00711FF1" w:rsidP="00711FF1">
            <w:pPr>
              <w:pStyle w:val="ListParagraph"/>
              <w:numPr>
                <w:ilvl w:val="0"/>
                <w:numId w:val="11"/>
              </w:numPr>
              <w:rPr>
                <w:b/>
                <w:u w:val="single"/>
              </w:rPr>
            </w:pPr>
            <w:r>
              <w:t>Annual Delivery</w:t>
            </w:r>
            <w:r w:rsidRPr="005A35B2">
              <w:t xml:space="preserve"> Reports </w:t>
            </w:r>
          </w:p>
          <w:p w:rsidR="00B45C14" w:rsidRPr="005A35B2" w:rsidRDefault="00F641E9" w:rsidP="00F641E9">
            <w:pPr>
              <w:pStyle w:val="ListParagraph"/>
              <w:numPr>
                <w:ilvl w:val="0"/>
                <w:numId w:val="11"/>
              </w:numPr>
            </w:pPr>
            <w:r w:rsidRPr="005A35B2">
              <w:t xml:space="preserve">Independent evaluation activity </w:t>
            </w:r>
          </w:p>
          <w:p w:rsidR="00B45C14" w:rsidRPr="005A35B2" w:rsidRDefault="00B45C14" w:rsidP="00B45C14"/>
          <w:p w:rsidR="007E34B3" w:rsidRPr="005A35B2" w:rsidRDefault="007E34B3" w:rsidP="007E34B3">
            <w:pPr>
              <w:pStyle w:val="ListParagraph"/>
            </w:pPr>
          </w:p>
        </w:tc>
      </w:tr>
    </w:tbl>
    <w:p w:rsidR="005760DB" w:rsidRPr="005A35B2" w:rsidRDefault="005760DB" w:rsidP="005760DB">
      <w:r w:rsidRPr="005A35B2">
        <w:br w:type="page"/>
      </w:r>
    </w:p>
    <w:tbl>
      <w:tblPr>
        <w:tblStyle w:val="TableGrid"/>
        <w:tblW w:w="5000" w:type="pct"/>
        <w:tblCellMar>
          <w:top w:w="113" w:type="dxa"/>
          <w:bottom w:w="113" w:type="dxa"/>
        </w:tblCellMar>
        <w:tblLook w:val="04A0" w:firstRow="1" w:lastRow="0" w:firstColumn="1" w:lastColumn="0" w:noHBand="0" w:noVBand="1"/>
      </w:tblPr>
      <w:tblGrid>
        <w:gridCol w:w="988"/>
        <w:gridCol w:w="6826"/>
        <w:gridCol w:w="7574"/>
      </w:tblGrid>
      <w:tr w:rsidR="00126DA2" w:rsidRPr="005A35B2" w:rsidTr="00F53ED1">
        <w:trPr>
          <w:trHeight w:val="276"/>
        </w:trPr>
        <w:tc>
          <w:tcPr>
            <w:tcW w:w="5000" w:type="pct"/>
            <w:gridSpan w:val="3"/>
            <w:tcBorders>
              <w:bottom w:val="nil"/>
            </w:tcBorders>
            <w:shd w:val="clear" w:color="auto" w:fill="FFE599" w:themeFill="accent4" w:themeFillTint="66"/>
            <w:vAlign w:val="center"/>
          </w:tcPr>
          <w:p w:rsidR="00126DA2" w:rsidRPr="005A35B2" w:rsidRDefault="007E34B3" w:rsidP="007E34B3">
            <w:pPr>
              <w:pStyle w:val="Heading2"/>
            </w:pPr>
            <w:bookmarkStart w:id="9" w:name="_Toc88227473"/>
            <w:r w:rsidRPr="005A35B2">
              <w:t>Standard 4 - Our Services have partnership at their heart</w:t>
            </w:r>
            <w:bookmarkEnd w:id="9"/>
          </w:p>
        </w:tc>
      </w:tr>
      <w:tr w:rsidR="005760DB" w:rsidRPr="005A35B2" w:rsidTr="00F53ED1">
        <w:tc>
          <w:tcPr>
            <w:tcW w:w="321" w:type="pct"/>
            <w:vMerge w:val="restart"/>
            <w:tcBorders>
              <w:top w:val="nil"/>
            </w:tcBorders>
            <w:shd w:val="clear" w:color="auto" w:fill="FFE599" w:themeFill="accent4" w:themeFillTint="66"/>
            <w:textDirection w:val="btLr"/>
            <w:vAlign w:val="center"/>
          </w:tcPr>
          <w:p w:rsidR="005760DB" w:rsidRPr="005A35B2" w:rsidRDefault="005760DB" w:rsidP="007F1A40">
            <w:pPr>
              <w:ind w:left="113" w:right="113"/>
              <w:jc w:val="center"/>
              <w:rPr>
                <w:b/>
              </w:rPr>
            </w:pPr>
          </w:p>
        </w:tc>
        <w:tc>
          <w:tcPr>
            <w:tcW w:w="4679" w:type="pct"/>
            <w:gridSpan w:val="2"/>
            <w:tcBorders>
              <w:top w:val="single" w:sz="4" w:space="0" w:color="auto"/>
            </w:tcBorders>
            <w:shd w:val="clear" w:color="auto" w:fill="BFBFBF" w:themeFill="background1" w:themeFillShade="BF"/>
          </w:tcPr>
          <w:p w:rsidR="005760DB" w:rsidRPr="005A35B2" w:rsidRDefault="00126DA2" w:rsidP="007F1A40">
            <w:pPr>
              <w:jc w:val="center"/>
            </w:pPr>
            <w:r w:rsidRPr="005A35B2">
              <w:rPr>
                <w:b/>
              </w:rPr>
              <w:t>Why is this important?</w:t>
            </w:r>
          </w:p>
        </w:tc>
      </w:tr>
      <w:tr w:rsidR="005760DB" w:rsidRPr="005A35B2" w:rsidTr="007F1A40">
        <w:tc>
          <w:tcPr>
            <w:tcW w:w="321" w:type="pct"/>
            <w:vMerge/>
            <w:shd w:val="clear" w:color="auto" w:fill="FFE599" w:themeFill="accent4" w:themeFillTint="66"/>
          </w:tcPr>
          <w:p w:rsidR="005760DB" w:rsidRPr="005A35B2" w:rsidRDefault="005760DB" w:rsidP="007F1A40"/>
        </w:tc>
        <w:tc>
          <w:tcPr>
            <w:tcW w:w="4679" w:type="pct"/>
            <w:gridSpan w:val="2"/>
          </w:tcPr>
          <w:p w:rsidR="005760DB" w:rsidRPr="005A35B2" w:rsidRDefault="002E0BB7" w:rsidP="007F1A40">
            <w:r>
              <w:t xml:space="preserve">The </w:t>
            </w:r>
            <w:r w:rsidR="005760DB" w:rsidRPr="005A35B2">
              <w:t xml:space="preserve">No One Left Behind </w:t>
            </w:r>
            <w:r>
              <w:t xml:space="preserve">approach </w:t>
            </w:r>
            <w:r w:rsidR="005760DB" w:rsidRPr="005A35B2">
              <w:t xml:space="preserve">requires partnership at every level to be delivered effectively. We are committed to a mixed economy of provision, with local partners being able to access funding that </w:t>
            </w:r>
            <w:r w:rsidR="006B278F" w:rsidRPr="005A35B2">
              <w:t>may</w:t>
            </w:r>
            <w:r w:rsidR="005760DB" w:rsidRPr="005A35B2">
              <w:t xml:space="preserve"> previously have been inaccessible as a result of contract sizes.</w:t>
            </w:r>
          </w:p>
          <w:p w:rsidR="008D13CC" w:rsidRPr="005A35B2" w:rsidRDefault="008D13CC" w:rsidP="007F1A40"/>
          <w:p w:rsidR="008D13CC" w:rsidRPr="005A35B2" w:rsidRDefault="008D13CC" w:rsidP="008D13CC">
            <w:r w:rsidRPr="005A35B2">
              <w:t>Partnership also extends to the national partnership, with the expectations of working between Scottish Government, Local Government and Employability Partnerships defined by the Partnership Working Agreement.</w:t>
            </w:r>
          </w:p>
          <w:p w:rsidR="006B278F" w:rsidRPr="005A35B2" w:rsidRDefault="006B278F" w:rsidP="008D13CC"/>
          <w:p w:rsidR="006B278F" w:rsidRPr="005A35B2" w:rsidRDefault="006B278F" w:rsidP="006B278F">
            <w:r w:rsidRPr="005A35B2">
              <w:t xml:space="preserve">We also have a responsibility to contribute to wider public service reform agendas, including reducing duplication. Strategic planning and commissioning is required to achieve this. </w:t>
            </w:r>
          </w:p>
          <w:p w:rsidR="006B278F" w:rsidRPr="005A35B2" w:rsidRDefault="006B278F" w:rsidP="008D13CC"/>
        </w:tc>
      </w:tr>
      <w:tr w:rsidR="005760DB" w:rsidRPr="005A35B2" w:rsidTr="007F1A40">
        <w:tc>
          <w:tcPr>
            <w:tcW w:w="321" w:type="pct"/>
            <w:vMerge/>
            <w:shd w:val="clear" w:color="auto" w:fill="FFE599" w:themeFill="accent4" w:themeFillTint="66"/>
          </w:tcPr>
          <w:p w:rsidR="005760DB" w:rsidRPr="005A35B2" w:rsidRDefault="005760DB" w:rsidP="007F1A40">
            <w:pPr>
              <w:rPr>
                <w:b/>
              </w:rPr>
            </w:pPr>
          </w:p>
        </w:tc>
        <w:tc>
          <w:tcPr>
            <w:tcW w:w="2218" w:type="pct"/>
            <w:shd w:val="clear" w:color="auto" w:fill="BFBFBF" w:themeFill="background1" w:themeFillShade="BF"/>
          </w:tcPr>
          <w:p w:rsidR="005760DB" w:rsidRPr="005A35B2" w:rsidRDefault="00B45C14" w:rsidP="007F1A40">
            <w:pPr>
              <w:jc w:val="center"/>
              <w:rPr>
                <w:b/>
              </w:rPr>
            </w:pPr>
            <w:r w:rsidRPr="005A35B2">
              <w:rPr>
                <w:b/>
              </w:rPr>
              <w:t xml:space="preserve">Local Employability Partnership </w:t>
            </w:r>
            <w:r w:rsidR="005760DB" w:rsidRPr="005A35B2">
              <w:rPr>
                <w:b/>
              </w:rPr>
              <w:t>expectations</w:t>
            </w:r>
          </w:p>
        </w:tc>
        <w:tc>
          <w:tcPr>
            <w:tcW w:w="2461" w:type="pct"/>
            <w:shd w:val="clear" w:color="auto" w:fill="BFBFBF" w:themeFill="background1" w:themeFillShade="BF"/>
          </w:tcPr>
          <w:p w:rsidR="005760DB" w:rsidRPr="005A35B2" w:rsidRDefault="005760DB" w:rsidP="00B45C14">
            <w:pPr>
              <w:jc w:val="center"/>
              <w:rPr>
                <w:b/>
              </w:rPr>
            </w:pPr>
            <w:r w:rsidRPr="005A35B2">
              <w:rPr>
                <w:b/>
              </w:rPr>
              <w:t xml:space="preserve">Service </w:t>
            </w:r>
            <w:r w:rsidR="00B45C14" w:rsidRPr="005A35B2">
              <w:rPr>
                <w:b/>
              </w:rPr>
              <w:t>p</w:t>
            </w:r>
            <w:r w:rsidR="00E20FF0" w:rsidRPr="005A35B2">
              <w:rPr>
                <w:b/>
              </w:rPr>
              <w:t>rovider e</w:t>
            </w:r>
            <w:r w:rsidRPr="005A35B2">
              <w:rPr>
                <w:b/>
              </w:rPr>
              <w:t>xpectations</w:t>
            </w:r>
          </w:p>
        </w:tc>
      </w:tr>
      <w:tr w:rsidR="005760DB" w:rsidRPr="005A35B2" w:rsidTr="007F1A40">
        <w:tc>
          <w:tcPr>
            <w:tcW w:w="321" w:type="pct"/>
            <w:vMerge/>
            <w:shd w:val="clear" w:color="auto" w:fill="FFE599" w:themeFill="accent4" w:themeFillTint="66"/>
          </w:tcPr>
          <w:p w:rsidR="005760DB" w:rsidRPr="005A35B2" w:rsidRDefault="005760DB" w:rsidP="007F1A40"/>
        </w:tc>
        <w:tc>
          <w:tcPr>
            <w:tcW w:w="2218" w:type="pct"/>
          </w:tcPr>
          <w:p w:rsidR="0045001E" w:rsidRPr="005A35B2" w:rsidRDefault="005760DB" w:rsidP="007F1A40">
            <w:r w:rsidRPr="005A35B2">
              <w:rPr>
                <w:b/>
              </w:rPr>
              <w:t xml:space="preserve">Organisations work across boundaries </w:t>
            </w:r>
          </w:p>
          <w:p w:rsidR="005760DB" w:rsidRPr="005A35B2" w:rsidRDefault="0045001E" w:rsidP="007F1A40">
            <w:pPr>
              <w:rPr>
                <w:b/>
              </w:rPr>
            </w:pPr>
            <w:r w:rsidRPr="005A35B2">
              <w:t>P</w:t>
            </w:r>
            <w:r w:rsidR="005760DB" w:rsidRPr="005A35B2">
              <w:t xml:space="preserve">lanning at a local level should be strategic so that ways to work across boundaries are identified, and duplication of effort is reduced, in line with the </w:t>
            </w:r>
            <w:hyperlink r:id="rId29" w:history="1">
              <w:r w:rsidR="005760DB" w:rsidRPr="005A35B2">
                <w:rPr>
                  <w:rStyle w:val="Hyperlink"/>
                </w:rPr>
                <w:t>Christie Commission</w:t>
              </w:r>
            </w:hyperlink>
            <w:r w:rsidR="005760DB" w:rsidRPr="005A35B2">
              <w:t>.</w:t>
            </w:r>
            <w:r w:rsidR="008D13CC" w:rsidRPr="005A35B2">
              <w:t xml:space="preserve"> Boundaries can be </w:t>
            </w:r>
            <w:r w:rsidRPr="005A35B2">
              <w:t xml:space="preserve">defined as </w:t>
            </w:r>
            <w:r w:rsidR="008D13CC" w:rsidRPr="005A35B2">
              <w:t>service level, sectoral, geographical</w:t>
            </w:r>
            <w:r w:rsidR="00876DF9" w:rsidRPr="005A35B2">
              <w:t>, governmental</w:t>
            </w:r>
            <w:r w:rsidR="008D13CC" w:rsidRPr="005A35B2">
              <w:t xml:space="preserve"> or all of the above.</w:t>
            </w:r>
            <w:r w:rsidR="005760DB" w:rsidRPr="005A35B2">
              <w:t xml:space="preserve"> </w:t>
            </w:r>
            <w:r w:rsidR="005760DB" w:rsidRPr="005A35B2">
              <w:rPr>
                <w:b/>
              </w:rPr>
              <w:t xml:space="preserve"> </w:t>
            </w:r>
          </w:p>
          <w:p w:rsidR="005760DB" w:rsidRPr="005A35B2" w:rsidRDefault="005760DB" w:rsidP="007F1A40">
            <w:pPr>
              <w:rPr>
                <w:b/>
              </w:rPr>
            </w:pPr>
          </w:p>
          <w:p w:rsidR="005760DB" w:rsidRPr="005A35B2" w:rsidRDefault="0045001E" w:rsidP="007F1A40">
            <w:pPr>
              <w:rPr>
                <w:b/>
              </w:rPr>
            </w:pPr>
            <w:r w:rsidRPr="005A35B2">
              <w:rPr>
                <w:b/>
              </w:rPr>
              <w:t xml:space="preserve">Approach commissioning from a partnership perspective </w:t>
            </w:r>
          </w:p>
          <w:p w:rsidR="005760DB" w:rsidRDefault="0045001E" w:rsidP="007F1A40">
            <w:r w:rsidRPr="005A35B2">
              <w:t>All Local Employability Partnerships must commit to a mixed economy of provision between sectors, and ensure relevant statutory bodies are consulted and engaged in developing local commissioning priorities.</w:t>
            </w:r>
            <w:r w:rsidR="00876DF9" w:rsidRPr="005A35B2">
              <w:t xml:space="preserve"> We should strive to hide the wiring behind our services so that processes are straightforward and easy to navigate for users, providers and employers.</w:t>
            </w:r>
          </w:p>
          <w:p w:rsidR="0096360B" w:rsidRDefault="0096360B" w:rsidP="007F1A40"/>
          <w:p w:rsidR="0096360B" w:rsidRPr="005A35B2" w:rsidRDefault="0096360B" w:rsidP="007F1A40"/>
          <w:p w:rsidR="0045001E" w:rsidRPr="005A35B2" w:rsidRDefault="0045001E" w:rsidP="0045001E">
            <w:pPr>
              <w:rPr>
                <w:b/>
              </w:rPr>
            </w:pPr>
          </w:p>
          <w:p w:rsidR="0045001E" w:rsidRPr="005A35B2" w:rsidRDefault="0045001E" w:rsidP="0045001E">
            <w:pPr>
              <w:rPr>
                <w:b/>
              </w:rPr>
            </w:pPr>
            <w:r w:rsidRPr="005A35B2">
              <w:rPr>
                <w:b/>
              </w:rPr>
              <w:t>Share learning and good practice</w:t>
            </w:r>
          </w:p>
          <w:p w:rsidR="0045001E" w:rsidRPr="005A35B2" w:rsidRDefault="0045001E" w:rsidP="0045001E">
            <w:r w:rsidRPr="005A35B2">
              <w:t>Learning from what others are doing has a role to play at the local, regional and national levels. Partners should be encouraged to engage with mechanism for sharing this knowledge, whether through local groups such as Local Employability Partnerships, or national forums such as Knowledge Hub (exact processes TBC).</w:t>
            </w:r>
          </w:p>
          <w:p w:rsidR="007E34B3" w:rsidRPr="005A35B2" w:rsidRDefault="007E34B3"/>
        </w:tc>
        <w:tc>
          <w:tcPr>
            <w:tcW w:w="2461" w:type="pct"/>
          </w:tcPr>
          <w:p w:rsidR="005760DB" w:rsidRPr="005A35B2" w:rsidRDefault="007F1DFB" w:rsidP="007F1A40">
            <w:pPr>
              <w:rPr>
                <w:b/>
              </w:rPr>
            </w:pPr>
            <w:r>
              <w:rPr>
                <w:b/>
              </w:rPr>
              <w:t>Ensuring that “Every Contact Counts”</w:t>
            </w:r>
          </w:p>
          <w:p w:rsidR="005760DB" w:rsidRPr="005A35B2" w:rsidRDefault="0045001E" w:rsidP="007F1A40">
            <w:r w:rsidRPr="005A35B2">
              <w:t>We</w:t>
            </w:r>
            <w:r w:rsidR="005760DB" w:rsidRPr="005A35B2">
              <w:t xml:space="preserve"> should all view ourselves as part of a wider landscape of delivery</w:t>
            </w:r>
            <w:r w:rsidR="00263695">
              <w:t xml:space="preserve"> and </w:t>
            </w:r>
            <w:r w:rsidR="00263695" w:rsidRPr="005A35B2">
              <w:t xml:space="preserve">work alongside other providers </w:t>
            </w:r>
            <w:r w:rsidR="00263695">
              <w:t>to provide joined up packages of support and integrated pathways</w:t>
            </w:r>
            <w:r w:rsidR="005760DB" w:rsidRPr="005A35B2">
              <w:t xml:space="preserve">. </w:t>
            </w:r>
            <w:r w:rsidRPr="005A35B2">
              <w:t xml:space="preserve">It is critical that </w:t>
            </w:r>
            <w:r w:rsidR="007F1DFB">
              <w:t xml:space="preserve">“Every Contact Counts” in driving both engagement with employability services and ensuring that those accessing employability services are supported to identify and access the holistic package of support they need to move successfully </w:t>
            </w:r>
            <w:r w:rsidR="00263695">
              <w:t>towards and into work</w:t>
            </w:r>
            <w:r w:rsidR="007F1DFB">
              <w:t xml:space="preserve">.  </w:t>
            </w:r>
          </w:p>
          <w:p w:rsidR="0045001E" w:rsidRPr="005A35B2" w:rsidRDefault="0045001E" w:rsidP="007F1A40"/>
          <w:p w:rsidR="0045001E" w:rsidRPr="005A35B2" w:rsidRDefault="0045001E" w:rsidP="007F1A40">
            <w:pPr>
              <w:rPr>
                <w:b/>
              </w:rPr>
            </w:pPr>
            <w:r w:rsidRPr="005A35B2">
              <w:rPr>
                <w:b/>
              </w:rPr>
              <w:t>Raise awareness of your specialism</w:t>
            </w:r>
          </w:p>
          <w:p w:rsidR="00263695" w:rsidRDefault="0045001E" w:rsidP="007F1A40">
            <w:r w:rsidRPr="005A35B2">
              <w:t>If we are to deliver effectively in partnership, we need to understand where specialisms lie in local areas. Communicating with other providers and ensuring we only retain clients we are well placed to support is critical in achieving better outcomes.</w:t>
            </w:r>
          </w:p>
          <w:p w:rsidR="00263695" w:rsidRPr="005A35B2" w:rsidRDefault="00263695" w:rsidP="007F1A40"/>
          <w:p w:rsidR="0045001E" w:rsidRPr="005A35B2" w:rsidRDefault="0045001E" w:rsidP="0045001E">
            <w:pPr>
              <w:rPr>
                <w:b/>
              </w:rPr>
            </w:pPr>
            <w:r w:rsidRPr="005A35B2">
              <w:rPr>
                <w:b/>
              </w:rPr>
              <w:t xml:space="preserve">Be open with learning </w:t>
            </w:r>
          </w:p>
          <w:p w:rsidR="0045001E" w:rsidRPr="005A35B2" w:rsidRDefault="0045001E" w:rsidP="0045001E">
            <w:r w:rsidRPr="005A35B2">
              <w:t>Learning from what others are doing has a role to play at the local, regional and national levels. Partners should be encouraged to engage with mechanism for sharing this knowledge, whether through local groups such as Local Employability Partnerships, or national forums such as Knowledge Hub.</w:t>
            </w:r>
          </w:p>
          <w:p w:rsidR="0045001E" w:rsidRPr="005A35B2" w:rsidRDefault="0045001E" w:rsidP="007F1A40"/>
        </w:tc>
      </w:tr>
      <w:tr w:rsidR="007E34B3" w:rsidRPr="005A35B2" w:rsidTr="007E34B3">
        <w:tc>
          <w:tcPr>
            <w:tcW w:w="321" w:type="pct"/>
            <w:vMerge/>
            <w:shd w:val="clear" w:color="auto" w:fill="FFE599" w:themeFill="accent4" w:themeFillTint="66"/>
          </w:tcPr>
          <w:p w:rsidR="007E34B3" w:rsidRPr="005A35B2" w:rsidRDefault="007E34B3" w:rsidP="007F1A40">
            <w:pPr>
              <w:rPr>
                <w:b/>
              </w:rPr>
            </w:pPr>
          </w:p>
        </w:tc>
        <w:tc>
          <w:tcPr>
            <w:tcW w:w="2218" w:type="pct"/>
            <w:shd w:val="clear" w:color="auto" w:fill="FFE599" w:themeFill="accent4" w:themeFillTint="66"/>
          </w:tcPr>
          <w:p w:rsidR="007E34B3" w:rsidRPr="005A35B2" w:rsidRDefault="007E34B3" w:rsidP="007F1A40">
            <w:pPr>
              <w:rPr>
                <w:b/>
              </w:rPr>
            </w:pPr>
            <w:r w:rsidRPr="005A35B2">
              <w:rPr>
                <w:b/>
              </w:rPr>
              <w:t>No One Left Behind Principles</w:t>
            </w:r>
          </w:p>
        </w:tc>
        <w:tc>
          <w:tcPr>
            <w:tcW w:w="2461" w:type="pct"/>
            <w:shd w:val="clear" w:color="auto" w:fill="FFE599" w:themeFill="accent4" w:themeFillTint="66"/>
          </w:tcPr>
          <w:p w:rsidR="007E34B3" w:rsidRPr="005A35B2" w:rsidRDefault="0015621F" w:rsidP="007F1A40">
            <w:pPr>
              <w:rPr>
                <w:b/>
              </w:rPr>
            </w:pPr>
            <w:r w:rsidRPr="005A35B2">
              <w:rPr>
                <w:b/>
              </w:rPr>
              <w:t xml:space="preserve">How will we </w:t>
            </w:r>
            <w:r>
              <w:rPr>
                <w:b/>
              </w:rPr>
              <w:t>collectively assess progress</w:t>
            </w:r>
            <w:r w:rsidRPr="005A35B2">
              <w:rPr>
                <w:b/>
              </w:rPr>
              <w:t>?</w:t>
            </w:r>
          </w:p>
        </w:tc>
      </w:tr>
      <w:tr w:rsidR="007E34B3" w:rsidRPr="005A35B2" w:rsidTr="007E34B3">
        <w:tc>
          <w:tcPr>
            <w:tcW w:w="321" w:type="pct"/>
            <w:vMerge/>
            <w:shd w:val="clear" w:color="auto" w:fill="FFE599" w:themeFill="accent4" w:themeFillTint="66"/>
          </w:tcPr>
          <w:p w:rsidR="007E34B3" w:rsidRPr="005A35B2" w:rsidRDefault="007E34B3" w:rsidP="007F1A40"/>
        </w:tc>
        <w:tc>
          <w:tcPr>
            <w:tcW w:w="2218" w:type="pct"/>
          </w:tcPr>
          <w:p w:rsidR="007E34B3" w:rsidRPr="005A35B2" w:rsidRDefault="0096360B" w:rsidP="007E34B3">
            <w:pPr>
              <w:rPr>
                <w:b/>
              </w:rPr>
            </w:pPr>
            <w:r>
              <w:rPr>
                <w:b/>
              </w:rPr>
              <w:t>Through delivering this S</w:t>
            </w:r>
            <w:r w:rsidR="007E34B3" w:rsidRPr="005A35B2">
              <w:rPr>
                <w:b/>
              </w:rPr>
              <w:t>tandard in line with the expectations, we’re supporting delivery of the following principles:</w:t>
            </w:r>
          </w:p>
          <w:p w:rsidR="007E34B3" w:rsidRPr="005A35B2" w:rsidRDefault="007E34B3" w:rsidP="007E34B3">
            <w:pPr>
              <w:rPr>
                <w:b/>
              </w:rPr>
            </w:pPr>
          </w:p>
          <w:p w:rsidR="007E34B3" w:rsidRPr="005A35B2" w:rsidRDefault="007E34B3" w:rsidP="007E34B3">
            <w:pPr>
              <w:pStyle w:val="ListParagraph"/>
              <w:numPr>
                <w:ilvl w:val="0"/>
                <w:numId w:val="11"/>
              </w:numPr>
            </w:pPr>
            <w:r w:rsidRPr="005A35B2">
              <w:t>A system that provides flexible and person-centred support</w:t>
            </w:r>
          </w:p>
          <w:p w:rsidR="007E34B3" w:rsidRPr="005A35B2" w:rsidRDefault="0096360B" w:rsidP="007E34B3">
            <w:pPr>
              <w:pStyle w:val="ListParagraph"/>
              <w:numPr>
                <w:ilvl w:val="0"/>
                <w:numId w:val="11"/>
              </w:numPr>
            </w:pPr>
            <w:r>
              <w:t>I</w:t>
            </w:r>
            <w:r w:rsidR="007E34B3" w:rsidRPr="005A35B2">
              <w:t>s better integrated and aligned with other services, in particular, although not exclusively with health provision</w:t>
            </w:r>
          </w:p>
          <w:p w:rsidR="007E34B3" w:rsidRPr="005A35B2" w:rsidRDefault="0096360B" w:rsidP="007E34B3">
            <w:pPr>
              <w:pStyle w:val="ListParagraph"/>
              <w:numPr>
                <w:ilvl w:val="0"/>
                <w:numId w:val="11"/>
              </w:numPr>
              <w:rPr>
                <w:b/>
                <w:u w:val="single"/>
              </w:rPr>
            </w:pPr>
            <w:r>
              <w:t>P</w:t>
            </w:r>
            <w:r w:rsidR="007E34B3" w:rsidRPr="005A35B2">
              <w:t>rovides pathways into sustainable and fair work</w:t>
            </w:r>
          </w:p>
        </w:tc>
        <w:tc>
          <w:tcPr>
            <w:tcW w:w="2461" w:type="pct"/>
          </w:tcPr>
          <w:p w:rsidR="007E34B3" w:rsidRPr="005A35B2" w:rsidRDefault="007E34B3" w:rsidP="007F1A40">
            <w:pPr>
              <w:rPr>
                <w:b/>
                <w:u w:val="single"/>
              </w:rPr>
            </w:pPr>
          </w:p>
          <w:p w:rsidR="007E34B3" w:rsidRPr="005A35B2" w:rsidRDefault="007E34B3" w:rsidP="007F1A40">
            <w:pPr>
              <w:rPr>
                <w:b/>
                <w:u w:val="single"/>
              </w:rPr>
            </w:pPr>
            <w:r w:rsidRPr="005A35B2">
              <w:rPr>
                <w:b/>
                <w:u w:val="single"/>
              </w:rPr>
              <w:t>Annual</w:t>
            </w:r>
          </w:p>
          <w:p w:rsidR="00711FF1" w:rsidRPr="005A35B2" w:rsidRDefault="00711FF1" w:rsidP="00711FF1">
            <w:pPr>
              <w:pStyle w:val="ListParagraph"/>
              <w:numPr>
                <w:ilvl w:val="0"/>
                <w:numId w:val="12"/>
              </w:numPr>
              <w:rPr>
                <w:b/>
                <w:u w:val="single"/>
              </w:rPr>
            </w:pPr>
            <w:r>
              <w:t>Annual Delivery</w:t>
            </w:r>
            <w:r w:rsidRPr="005A35B2">
              <w:t xml:space="preserve"> Reports </w:t>
            </w:r>
          </w:p>
          <w:p w:rsidR="007E34B3" w:rsidRPr="005A35B2" w:rsidRDefault="00B45C14" w:rsidP="00711FF1">
            <w:pPr>
              <w:pStyle w:val="ListParagraph"/>
              <w:numPr>
                <w:ilvl w:val="0"/>
                <w:numId w:val="12"/>
              </w:numPr>
            </w:pPr>
            <w:r w:rsidRPr="005A35B2">
              <w:t>Independent e</w:t>
            </w:r>
            <w:r w:rsidR="007E34B3" w:rsidRPr="005A35B2">
              <w:t xml:space="preserve">valuation activity </w:t>
            </w:r>
          </w:p>
          <w:p w:rsidR="007E34B3" w:rsidRPr="005A35B2" w:rsidRDefault="00B45C14" w:rsidP="00711FF1">
            <w:pPr>
              <w:pStyle w:val="ListParagraph"/>
              <w:numPr>
                <w:ilvl w:val="0"/>
                <w:numId w:val="12"/>
              </w:numPr>
            </w:pPr>
            <w:r w:rsidRPr="005A35B2">
              <w:t xml:space="preserve">Local Employability Partnership </w:t>
            </w:r>
            <w:r w:rsidR="007E34B3" w:rsidRPr="005A35B2">
              <w:t xml:space="preserve">self-assessment activity </w:t>
            </w:r>
          </w:p>
        </w:tc>
      </w:tr>
    </w:tbl>
    <w:p w:rsidR="005760DB" w:rsidRPr="005A35B2" w:rsidRDefault="005760DB" w:rsidP="005760DB"/>
    <w:p w:rsidR="005760DB" w:rsidRPr="005A35B2" w:rsidRDefault="005760DB" w:rsidP="005760DB">
      <w:pPr>
        <w:tabs>
          <w:tab w:val="left" w:pos="1380"/>
        </w:tabs>
        <w:sectPr w:rsidR="005760DB" w:rsidRPr="005A35B2" w:rsidSect="00DF37EA">
          <w:pgSz w:w="16838" w:h="11906" w:orient="landscape" w:code="9"/>
          <w:pgMar w:top="720" w:right="720" w:bottom="720" w:left="720" w:header="720" w:footer="720" w:gutter="0"/>
          <w:cols w:space="708"/>
          <w:titlePg/>
          <w:docGrid w:linePitch="360"/>
        </w:sectPr>
      </w:pPr>
    </w:p>
    <w:p w:rsidR="008337D8" w:rsidRPr="005A35B2" w:rsidRDefault="008337D8" w:rsidP="005760DB">
      <w:pPr>
        <w:pStyle w:val="Heading1"/>
        <w:numPr>
          <w:ilvl w:val="0"/>
          <w:numId w:val="2"/>
        </w:numPr>
        <w:rPr>
          <w:b/>
        </w:rPr>
      </w:pPr>
      <w:bookmarkStart w:id="10" w:name="_Toc88227474"/>
      <w:r w:rsidRPr="005A35B2">
        <w:rPr>
          <w:b/>
        </w:rPr>
        <w:t>How the Standards fit with other products</w:t>
      </w:r>
      <w:bookmarkEnd w:id="10"/>
    </w:p>
    <w:p w:rsidR="008337D8" w:rsidRPr="005A35B2" w:rsidRDefault="008337D8" w:rsidP="008337D8"/>
    <w:p w:rsidR="008337D8" w:rsidRDefault="008337D8" w:rsidP="008337D8">
      <w:r w:rsidRPr="005A35B2">
        <w:t xml:space="preserve">The Service Standards form part of a wider national framework of products that have been designed to support delivery of services under the No One Left Behind </w:t>
      </w:r>
      <w:r w:rsidR="008C011E">
        <w:t>a</w:t>
      </w:r>
      <w:r w:rsidRPr="005A35B2">
        <w:t>pproach. Taken together, they collectively drive our aim of achi</w:t>
      </w:r>
      <w:r w:rsidR="0015621F">
        <w:t>eving better outcomes for users, and establish a common view of what success looks like, and what is important in Scotland’s employability system.</w:t>
      </w:r>
    </w:p>
    <w:p w:rsidR="00580B9C" w:rsidRPr="005A35B2" w:rsidRDefault="00580B9C" w:rsidP="008337D8"/>
    <w:p w:rsidR="008337D8" w:rsidRPr="005A35B2" w:rsidRDefault="00580B9C" w:rsidP="00580B9C">
      <w:pPr>
        <w:jc w:val="center"/>
      </w:pPr>
      <w:r>
        <w:rPr>
          <w:noProof/>
          <w:lang w:eastAsia="en-GB"/>
        </w:rPr>
        <w:drawing>
          <wp:inline distT="0" distB="0" distL="0" distR="0" wp14:anchorId="4BABC7C0" wp14:editId="0B18AF82">
            <wp:extent cx="6544130" cy="432673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65675" cy="4340981"/>
                    </a:xfrm>
                    <a:prstGeom prst="rect">
                      <a:avLst/>
                    </a:prstGeom>
                    <a:noFill/>
                  </pic:spPr>
                </pic:pic>
              </a:graphicData>
            </a:graphic>
          </wp:inline>
        </w:drawing>
      </w:r>
    </w:p>
    <w:p w:rsidR="008337D8" w:rsidRPr="005A35B2" w:rsidRDefault="008337D8" w:rsidP="008337D8"/>
    <w:p w:rsidR="008337D8" w:rsidRDefault="008337D8" w:rsidP="008337D8"/>
    <w:p w:rsidR="0015621F" w:rsidRDefault="0015621F" w:rsidP="0015621F">
      <w:r>
        <w:t>The</w:t>
      </w:r>
      <w:r w:rsidR="008C011E">
        <w:t xml:space="preserve"> Customer</w:t>
      </w:r>
      <w:r>
        <w:t xml:space="preserve"> Charter is designed for a user audience, establishing commitments services should meet through t</w:t>
      </w:r>
      <w:r w:rsidR="0096360B">
        <w:t>heir delivery. By aligning the S</w:t>
      </w:r>
      <w:r>
        <w:t>tandards to this document, we are not only using user insight as a basis for understanding how we should be looking to deliver services, but increasing our chances of delivering effectively on the Charter commitments by ensuring they are embedded in how we collectively define a quality service.</w:t>
      </w:r>
    </w:p>
    <w:p w:rsidR="0015621F" w:rsidRDefault="0015621F" w:rsidP="0015621F"/>
    <w:p w:rsidR="0015621F" w:rsidRDefault="0015621F" w:rsidP="0015621F">
      <w:r>
        <w:t xml:space="preserve">The </w:t>
      </w:r>
      <w:hyperlink r:id="rId31" w:history="1">
        <w:r w:rsidRPr="003413E3">
          <w:rPr>
            <w:rStyle w:val="Hyperlink"/>
          </w:rPr>
          <w:t>Shared Measurement Framework</w:t>
        </w:r>
      </w:hyperlink>
      <w:r>
        <w:t xml:space="preserve"> </w:t>
      </w:r>
      <w:r w:rsidRPr="0015621F">
        <w:t>will support a shift from separate approaches to measurement for different employability programmes, to a coherent view of what is working for people at a national, local and individual service level.</w:t>
      </w:r>
      <w:r>
        <w:t xml:space="preserve"> The data gathered through the SMF will drive our understanding o</w:t>
      </w:r>
      <w:r w:rsidR="0096360B">
        <w:t>f how well we’re meeting these S</w:t>
      </w:r>
      <w:r>
        <w:t xml:space="preserve">tandards, highlighting areas where improvement may be needed. The themes and key questions established </w:t>
      </w:r>
      <w:r w:rsidR="003413E3">
        <w:t>in</w:t>
      </w:r>
      <w:r>
        <w:t xml:space="preserve"> the </w:t>
      </w:r>
      <w:r w:rsidR="003413E3">
        <w:t>Framework</w:t>
      </w:r>
      <w:r>
        <w:t xml:space="preserve"> read across all four areas set out in this document, with some exp</w:t>
      </w:r>
      <w:r w:rsidR="0096360B">
        <w:t>licit areas highlighted in the S</w:t>
      </w:r>
      <w:r>
        <w:t xml:space="preserve">tandards above. </w:t>
      </w:r>
    </w:p>
    <w:p w:rsidR="0015621F" w:rsidRPr="005A35B2" w:rsidRDefault="0015621F" w:rsidP="0015621F"/>
    <w:p w:rsidR="005760DB" w:rsidRPr="005A35B2" w:rsidRDefault="005760DB" w:rsidP="005760DB">
      <w:pPr>
        <w:pStyle w:val="Heading1"/>
        <w:numPr>
          <w:ilvl w:val="0"/>
          <w:numId w:val="2"/>
        </w:numPr>
        <w:rPr>
          <w:b/>
        </w:rPr>
      </w:pPr>
      <w:bookmarkStart w:id="11" w:name="_Toc88227475"/>
      <w:r w:rsidRPr="005A35B2">
        <w:rPr>
          <w:b/>
        </w:rPr>
        <w:t>Our commitment to Continuous Improvement</w:t>
      </w:r>
      <w:bookmarkEnd w:id="11"/>
    </w:p>
    <w:p w:rsidR="005760DB" w:rsidRPr="005A35B2" w:rsidRDefault="005760DB" w:rsidP="005760DB"/>
    <w:p w:rsidR="005760DB" w:rsidRPr="005A35B2" w:rsidRDefault="005760DB" w:rsidP="005760DB">
      <w:r w:rsidRPr="005A35B2">
        <w:t xml:space="preserve">Continuous improvement is not a responsibility that stops with providers of services. We are committed to embedding this approach at the national level too. Feedback on these </w:t>
      </w:r>
      <w:r w:rsidR="00F53ED1" w:rsidRPr="005A35B2">
        <w:t>Standards</w:t>
      </w:r>
      <w:r w:rsidRPr="005A35B2">
        <w:t xml:space="preserve"> will be critical to refining them over time, and as narrative evidence from delivery begins to be reported in, wording of these </w:t>
      </w:r>
      <w:r w:rsidR="00F53ED1" w:rsidRPr="005A35B2">
        <w:t>Standards</w:t>
      </w:r>
      <w:r w:rsidRPr="005A35B2">
        <w:t xml:space="preserve"> may require </w:t>
      </w:r>
      <w:r w:rsidR="0045001E" w:rsidRPr="005A35B2">
        <w:t xml:space="preserve">alterations </w:t>
      </w:r>
      <w:r w:rsidRPr="005A35B2">
        <w:t xml:space="preserve">to better support delivery. </w:t>
      </w:r>
    </w:p>
    <w:p w:rsidR="005760DB" w:rsidRPr="005A35B2" w:rsidRDefault="005760DB" w:rsidP="005760DB"/>
    <w:p w:rsidR="005760DB" w:rsidRPr="005A35B2" w:rsidRDefault="005760DB" w:rsidP="005760DB">
      <w:r w:rsidRPr="005A35B2">
        <w:t xml:space="preserve">Independent evaluation will also play a role in assessing how well the expectations set out in these </w:t>
      </w:r>
      <w:r w:rsidR="0096360B">
        <w:t>S</w:t>
      </w:r>
      <w:r w:rsidR="00F53ED1" w:rsidRPr="005A35B2">
        <w:t>tandards</w:t>
      </w:r>
      <w:r w:rsidRPr="005A35B2">
        <w:t xml:space="preserve"> are understood and implemented.</w:t>
      </w:r>
    </w:p>
    <w:p w:rsidR="005760DB" w:rsidRPr="005A35B2" w:rsidRDefault="005760DB" w:rsidP="005760DB"/>
    <w:p w:rsidR="005760DB" w:rsidRPr="00EC194E" w:rsidRDefault="005760DB" w:rsidP="005760DB">
      <w:r w:rsidRPr="005A35B2">
        <w:t xml:space="preserve">As was the case with developing these </w:t>
      </w:r>
      <w:r w:rsidR="00F53ED1" w:rsidRPr="005A35B2">
        <w:t>Standards</w:t>
      </w:r>
      <w:r w:rsidRPr="005A35B2">
        <w:t>, alterations and improvements will be carried out in partnership, with the voice of providers and the wider partnership represented.</w:t>
      </w:r>
    </w:p>
    <w:p w:rsidR="00EC194E" w:rsidRPr="005760DB" w:rsidRDefault="00EC194E" w:rsidP="005760DB"/>
    <w:sectPr w:rsidR="00EC194E" w:rsidRPr="005760DB" w:rsidSect="008337D8">
      <w:footerReference w:type="default" r:id="rId32"/>
      <w:headerReference w:type="first" r:id="rId33"/>
      <w:footerReference w:type="first" r:id="rId34"/>
      <w:pgSz w:w="16838" w:h="11906" w:orient="landscape" w:code="9"/>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8AE" w:rsidRDefault="00B558AE" w:rsidP="00B11939">
      <w:r>
        <w:separator/>
      </w:r>
    </w:p>
  </w:endnote>
  <w:endnote w:type="continuationSeparator" w:id="0">
    <w:p w:rsidR="00B558AE" w:rsidRDefault="00B558AE" w:rsidP="00B11939">
      <w:r>
        <w:continuationSeparator/>
      </w:r>
    </w:p>
  </w:endnote>
  <w:endnote w:type="continuationNotice" w:id="1">
    <w:p w:rsidR="00B558AE" w:rsidRDefault="00B558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2035292"/>
      <w:docPartObj>
        <w:docPartGallery w:val="Page Numbers (Bottom of Page)"/>
        <w:docPartUnique/>
      </w:docPartObj>
    </w:sdtPr>
    <w:sdtEndPr>
      <w:rPr>
        <w:noProof/>
      </w:rPr>
    </w:sdtEndPr>
    <w:sdtContent>
      <w:p w:rsidR="005760DB" w:rsidRDefault="005760DB">
        <w:pPr>
          <w:pStyle w:val="Footer"/>
          <w:jc w:val="right"/>
        </w:pPr>
        <w:r>
          <w:fldChar w:fldCharType="begin"/>
        </w:r>
        <w:r>
          <w:instrText xml:space="preserve"> PAGE   \* MERGEFORMAT </w:instrText>
        </w:r>
        <w:r>
          <w:fldChar w:fldCharType="separate"/>
        </w:r>
        <w:r w:rsidR="00711FF1">
          <w:rPr>
            <w:noProof/>
          </w:rPr>
          <w:t>13</w:t>
        </w:r>
        <w:r>
          <w:rPr>
            <w:noProof/>
          </w:rPr>
          <w:fldChar w:fldCharType="end"/>
        </w:r>
      </w:p>
    </w:sdtContent>
  </w:sdt>
  <w:p w:rsidR="005760DB" w:rsidRDefault="00576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862679"/>
      <w:docPartObj>
        <w:docPartGallery w:val="Page Numbers (Bottom of Page)"/>
        <w:docPartUnique/>
      </w:docPartObj>
    </w:sdtPr>
    <w:sdtEndPr>
      <w:rPr>
        <w:noProof/>
      </w:rPr>
    </w:sdtEndPr>
    <w:sdtContent>
      <w:p w:rsidR="005760DB" w:rsidRDefault="005760DB">
        <w:pPr>
          <w:pStyle w:val="Footer"/>
          <w:jc w:val="right"/>
        </w:pPr>
        <w:r>
          <w:fldChar w:fldCharType="begin"/>
        </w:r>
        <w:r>
          <w:instrText xml:space="preserve"> PAGE   \* MERGEFORMAT </w:instrText>
        </w:r>
        <w:r>
          <w:fldChar w:fldCharType="separate"/>
        </w:r>
        <w:r w:rsidR="00711FF1">
          <w:rPr>
            <w:noProof/>
          </w:rPr>
          <w:t>0</w:t>
        </w:r>
        <w:r>
          <w:rPr>
            <w:noProof/>
          </w:rPr>
          <w:fldChar w:fldCharType="end"/>
        </w:r>
      </w:p>
    </w:sdtContent>
  </w:sdt>
  <w:p w:rsidR="005760DB" w:rsidRDefault="00576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014030"/>
      <w:docPartObj>
        <w:docPartGallery w:val="Page Numbers (Bottom of Page)"/>
        <w:docPartUnique/>
      </w:docPartObj>
    </w:sdtPr>
    <w:sdtEndPr>
      <w:rPr>
        <w:noProof/>
      </w:rPr>
    </w:sdtEndPr>
    <w:sdtContent>
      <w:p w:rsidR="003413E3" w:rsidRDefault="003413E3">
        <w:pPr>
          <w:pStyle w:val="Footer"/>
          <w:jc w:val="right"/>
        </w:pPr>
        <w:r>
          <w:fldChar w:fldCharType="begin"/>
        </w:r>
        <w:r>
          <w:instrText xml:space="preserve"> PAGE   \* MERGEFORMAT </w:instrText>
        </w:r>
        <w:r>
          <w:fldChar w:fldCharType="separate"/>
        </w:r>
        <w:r w:rsidR="00711FF1">
          <w:rPr>
            <w:noProof/>
          </w:rPr>
          <w:t>6</w:t>
        </w:r>
        <w:r>
          <w:rPr>
            <w:noProof/>
          </w:rPr>
          <w:fldChar w:fldCharType="end"/>
        </w:r>
      </w:p>
    </w:sdtContent>
  </w:sdt>
  <w:p w:rsidR="003413E3" w:rsidRDefault="003413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224718"/>
      <w:docPartObj>
        <w:docPartGallery w:val="Page Numbers (Bottom of Page)"/>
        <w:docPartUnique/>
      </w:docPartObj>
    </w:sdtPr>
    <w:sdtEndPr>
      <w:rPr>
        <w:noProof/>
      </w:rPr>
    </w:sdtEndPr>
    <w:sdtContent>
      <w:p w:rsidR="00EC194E" w:rsidRDefault="00EC194E">
        <w:pPr>
          <w:pStyle w:val="Footer"/>
          <w:jc w:val="right"/>
        </w:pPr>
        <w:r>
          <w:fldChar w:fldCharType="begin"/>
        </w:r>
        <w:r>
          <w:instrText xml:space="preserve"> PAGE   \* MERGEFORMAT </w:instrText>
        </w:r>
        <w:r>
          <w:fldChar w:fldCharType="separate"/>
        </w:r>
        <w:r w:rsidR="00711FF1">
          <w:rPr>
            <w:noProof/>
          </w:rPr>
          <w:t>15</w:t>
        </w:r>
        <w:r>
          <w:rPr>
            <w:noProof/>
          </w:rPr>
          <w:fldChar w:fldCharType="end"/>
        </w:r>
      </w:p>
    </w:sdtContent>
  </w:sdt>
  <w:p w:rsidR="00EC194E" w:rsidRDefault="00EC194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110150"/>
      <w:docPartObj>
        <w:docPartGallery w:val="Page Numbers (Bottom of Page)"/>
        <w:docPartUnique/>
      </w:docPartObj>
    </w:sdtPr>
    <w:sdtEndPr>
      <w:rPr>
        <w:noProof/>
      </w:rPr>
    </w:sdtEndPr>
    <w:sdtContent>
      <w:p w:rsidR="00EC194E" w:rsidRDefault="00EC194E">
        <w:pPr>
          <w:pStyle w:val="Footer"/>
          <w:jc w:val="right"/>
        </w:pPr>
        <w:r>
          <w:fldChar w:fldCharType="begin"/>
        </w:r>
        <w:r>
          <w:instrText xml:space="preserve"> PAGE   \* MERGEFORMAT </w:instrText>
        </w:r>
        <w:r>
          <w:fldChar w:fldCharType="separate"/>
        </w:r>
        <w:r w:rsidR="00711FF1">
          <w:rPr>
            <w:noProof/>
          </w:rPr>
          <w:t>14</w:t>
        </w:r>
        <w:r>
          <w:rPr>
            <w:noProof/>
          </w:rPr>
          <w:fldChar w:fldCharType="end"/>
        </w:r>
      </w:p>
    </w:sdtContent>
  </w:sdt>
  <w:p w:rsidR="00EC194E" w:rsidRDefault="00EC1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8AE" w:rsidRDefault="00B558AE" w:rsidP="00B11939">
      <w:r>
        <w:separator/>
      </w:r>
    </w:p>
  </w:footnote>
  <w:footnote w:type="continuationSeparator" w:id="0">
    <w:p w:rsidR="00B558AE" w:rsidRDefault="00B558AE" w:rsidP="00B11939">
      <w:r>
        <w:continuationSeparator/>
      </w:r>
    </w:p>
  </w:footnote>
  <w:footnote w:type="continuationNotice" w:id="1">
    <w:p w:rsidR="00B558AE" w:rsidRDefault="00B558AE"/>
  </w:footnote>
  <w:footnote w:id="2">
    <w:p w:rsidR="005760DB" w:rsidRDefault="005760DB" w:rsidP="005760DB">
      <w:pPr>
        <w:pStyle w:val="FootnoteText"/>
      </w:pPr>
      <w:r>
        <w:rPr>
          <w:rStyle w:val="FootnoteReference"/>
        </w:rPr>
        <w:footnoteRef/>
      </w:r>
      <w:r>
        <w:t xml:space="preserve"> </w:t>
      </w:r>
      <w:r w:rsidRPr="00B11939">
        <w:t>https://www.gov.scot/publications/fair-start-scotland-evaluation-report-3-overview-year-two/documents/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0DB" w:rsidRDefault="005760DB">
    <w:pPr>
      <w:pStyle w:val="Header"/>
      <w:jc w:val="right"/>
    </w:pPr>
  </w:p>
  <w:p w:rsidR="005760DB" w:rsidRDefault="005760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4E" w:rsidRDefault="00EC194E">
    <w:pPr>
      <w:pStyle w:val="Header"/>
      <w:jc w:val="right"/>
    </w:pPr>
  </w:p>
  <w:p w:rsidR="00EC194E" w:rsidRDefault="00EC1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3526114"/>
    <w:lvl w:ilvl="0">
      <w:start w:val="1"/>
      <w:numFmt w:val="decimal"/>
      <w:pStyle w:val="Heading1"/>
      <w:lvlText w:val="%1."/>
      <w:legacy w:legacy="1" w:legacySpace="288" w:legacyIndent="720"/>
      <w:lvlJc w:val="left"/>
    </w:lvl>
    <w:lvl w:ilvl="1">
      <w:start w:val="1"/>
      <w:numFmt w:val="decimal"/>
      <w:lvlText w:val="%1.%2"/>
      <w:legacy w:legacy="1" w:legacySpace="284" w:legacyIndent="720"/>
      <w:lvlJc w:val="left"/>
      <w:rPr>
        <w:b/>
      </w:rPr>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19561CA7"/>
    <w:multiLevelType w:val="hybridMultilevel"/>
    <w:tmpl w:val="B678C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4312C"/>
    <w:multiLevelType w:val="hybridMultilevel"/>
    <w:tmpl w:val="52AC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181A6D"/>
    <w:multiLevelType w:val="hybridMultilevel"/>
    <w:tmpl w:val="01E6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11F1E"/>
    <w:multiLevelType w:val="hybridMultilevel"/>
    <w:tmpl w:val="DA9A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0951C6"/>
    <w:multiLevelType w:val="hybridMultilevel"/>
    <w:tmpl w:val="C1D2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E62F5"/>
    <w:multiLevelType w:val="hybridMultilevel"/>
    <w:tmpl w:val="2FFC4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15399"/>
    <w:multiLevelType w:val="hybridMultilevel"/>
    <w:tmpl w:val="A7A8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61367C"/>
    <w:multiLevelType w:val="hybridMultilevel"/>
    <w:tmpl w:val="D48C8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FD613FA"/>
    <w:multiLevelType w:val="hybridMultilevel"/>
    <w:tmpl w:val="4378D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B80D62"/>
    <w:multiLevelType w:val="hybridMultilevel"/>
    <w:tmpl w:val="1646F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D9392D"/>
    <w:multiLevelType w:val="hybridMultilevel"/>
    <w:tmpl w:val="625A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480AF7"/>
    <w:multiLevelType w:val="hybridMultilevel"/>
    <w:tmpl w:val="B6C40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ED94706"/>
    <w:multiLevelType w:val="hybridMultilevel"/>
    <w:tmpl w:val="F5FE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F000C3"/>
    <w:multiLevelType w:val="hybridMultilevel"/>
    <w:tmpl w:val="31AE5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A3A577F"/>
    <w:multiLevelType w:val="hybridMultilevel"/>
    <w:tmpl w:val="FDBA8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0"/>
  </w:num>
  <w:num w:numId="3">
    <w:abstractNumId w:val="0"/>
  </w:num>
  <w:num w:numId="4">
    <w:abstractNumId w:val="0"/>
  </w:num>
  <w:num w:numId="5">
    <w:abstractNumId w:val="13"/>
  </w:num>
  <w:num w:numId="6">
    <w:abstractNumId w:val="0"/>
  </w:num>
  <w:num w:numId="7">
    <w:abstractNumId w:val="6"/>
  </w:num>
  <w:num w:numId="8">
    <w:abstractNumId w:val="10"/>
  </w:num>
  <w:num w:numId="9">
    <w:abstractNumId w:val="1"/>
  </w:num>
  <w:num w:numId="10">
    <w:abstractNumId w:val="2"/>
  </w:num>
  <w:num w:numId="11">
    <w:abstractNumId w:val="7"/>
  </w:num>
  <w:num w:numId="12">
    <w:abstractNumId w:val="11"/>
  </w:num>
  <w:num w:numId="13">
    <w:abstractNumId w:val="12"/>
  </w:num>
  <w:num w:numId="14">
    <w:abstractNumId w:val="4"/>
  </w:num>
  <w:num w:numId="15">
    <w:abstractNumId w:val="15"/>
  </w:num>
  <w:num w:numId="16">
    <w:abstractNumId w:val="14"/>
  </w:num>
  <w:num w:numId="17">
    <w:abstractNumId w:val="16"/>
  </w:num>
  <w:num w:numId="18">
    <w:abstractNumId w:val="8"/>
  </w:num>
  <w:num w:numId="19">
    <w:abstractNumId w:val="9"/>
  </w:num>
  <w:num w:numId="20">
    <w:abstractNumId w:val="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AD"/>
    <w:rsid w:val="00027C27"/>
    <w:rsid w:val="000C0CF4"/>
    <w:rsid w:val="00126DA2"/>
    <w:rsid w:val="0013454F"/>
    <w:rsid w:val="00137050"/>
    <w:rsid w:val="0015621F"/>
    <w:rsid w:val="00183F73"/>
    <w:rsid w:val="00193A0B"/>
    <w:rsid w:val="00217EC4"/>
    <w:rsid w:val="00263695"/>
    <w:rsid w:val="002650DB"/>
    <w:rsid w:val="00281579"/>
    <w:rsid w:val="00284713"/>
    <w:rsid w:val="00296E88"/>
    <w:rsid w:val="002D596C"/>
    <w:rsid w:val="002E0BB7"/>
    <w:rsid w:val="002F09AF"/>
    <w:rsid w:val="00306C61"/>
    <w:rsid w:val="003141C0"/>
    <w:rsid w:val="003413E3"/>
    <w:rsid w:val="0037582B"/>
    <w:rsid w:val="00380EAD"/>
    <w:rsid w:val="003F397A"/>
    <w:rsid w:val="00411D09"/>
    <w:rsid w:val="0045001E"/>
    <w:rsid w:val="004A1FD5"/>
    <w:rsid w:val="00540191"/>
    <w:rsid w:val="005760DB"/>
    <w:rsid w:val="0057786C"/>
    <w:rsid w:val="00580B9C"/>
    <w:rsid w:val="005869B7"/>
    <w:rsid w:val="005A0DDB"/>
    <w:rsid w:val="005A35B2"/>
    <w:rsid w:val="006530B9"/>
    <w:rsid w:val="006A262E"/>
    <w:rsid w:val="006B2781"/>
    <w:rsid w:val="006B278F"/>
    <w:rsid w:val="006F433B"/>
    <w:rsid w:val="00711FF1"/>
    <w:rsid w:val="00732336"/>
    <w:rsid w:val="00740336"/>
    <w:rsid w:val="007449D9"/>
    <w:rsid w:val="007E34B3"/>
    <w:rsid w:val="007F1DFB"/>
    <w:rsid w:val="00800D47"/>
    <w:rsid w:val="008337D8"/>
    <w:rsid w:val="00857548"/>
    <w:rsid w:val="00872A49"/>
    <w:rsid w:val="00876DF9"/>
    <w:rsid w:val="008B1499"/>
    <w:rsid w:val="008C011E"/>
    <w:rsid w:val="008D13CC"/>
    <w:rsid w:val="0096360B"/>
    <w:rsid w:val="00967B47"/>
    <w:rsid w:val="0097483A"/>
    <w:rsid w:val="00974E8E"/>
    <w:rsid w:val="00981894"/>
    <w:rsid w:val="009B7615"/>
    <w:rsid w:val="009C39C1"/>
    <w:rsid w:val="009F0B42"/>
    <w:rsid w:val="00A3178A"/>
    <w:rsid w:val="00A412E9"/>
    <w:rsid w:val="00A77DC7"/>
    <w:rsid w:val="00AA1530"/>
    <w:rsid w:val="00AB2544"/>
    <w:rsid w:val="00AC0A3D"/>
    <w:rsid w:val="00AE26FF"/>
    <w:rsid w:val="00B02AD4"/>
    <w:rsid w:val="00B11939"/>
    <w:rsid w:val="00B45C14"/>
    <w:rsid w:val="00B51BDC"/>
    <w:rsid w:val="00B558AE"/>
    <w:rsid w:val="00B561C0"/>
    <w:rsid w:val="00B75977"/>
    <w:rsid w:val="00B773CE"/>
    <w:rsid w:val="00B80CB3"/>
    <w:rsid w:val="00C238C6"/>
    <w:rsid w:val="00C55063"/>
    <w:rsid w:val="00C60CDE"/>
    <w:rsid w:val="00C7092A"/>
    <w:rsid w:val="00C747F7"/>
    <w:rsid w:val="00C91823"/>
    <w:rsid w:val="00CC3B15"/>
    <w:rsid w:val="00D008AB"/>
    <w:rsid w:val="00D77282"/>
    <w:rsid w:val="00D841A2"/>
    <w:rsid w:val="00DA0DC9"/>
    <w:rsid w:val="00DF37EA"/>
    <w:rsid w:val="00E20FF0"/>
    <w:rsid w:val="00E66002"/>
    <w:rsid w:val="00E7721B"/>
    <w:rsid w:val="00EC194E"/>
    <w:rsid w:val="00EF70AB"/>
    <w:rsid w:val="00F335C5"/>
    <w:rsid w:val="00F53CD0"/>
    <w:rsid w:val="00F53ED1"/>
    <w:rsid w:val="00F641E9"/>
    <w:rsid w:val="00F96E40"/>
    <w:rsid w:val="00FA4BC1"/>
    <w:rsid w:val="00FF4F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70AF"/>
  <w15:chartTrackingRefBased/>
  <w15:docId w15:val="{C6FE4AF2-8CCA-42FC-83A6-EE3E7797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0DB"/>
    <w:rPr>
      <w:rFonts w:ascii="Arial" w:hAnsi="Arial" w:cs="Times New Roman"/>
      <w:sz w:val="24"/>
      <w:szCs w:val="20"/>
    </w:rPr>
  </w:style>
  <w:style w:type="paragraph" w:styleId="Heading1">
    <w:name w:val="heading 1"/>
    <w:aliases w:val="Outline1"/>
    <w:basedOn w:val="Normal"/>
    <w:next w:val="Normal"/>
    <w:link w:val="Heading1Char"/>
    <w:qFormat/>
    <w:rsid w:val="00380EAD"/>
    <w:pPr>
      <w:numPr>
        <w:numId w:val="6"/>
      </w:numPr>
      <w:shd w:val="clear" w:color="auto" w:fill="BDD6EE" w:themeFill="accent1" w:themeFillTint="66"/>
      <w:outlineLvl w:val="0"/>
    </w:pPr>
    <w:rPr>
      <w:kern w:val="24"/>
    </w:rPr>
  </w:style>
  <w:style w:type="paragraph" w:styleId="Heading2">
    <w:name w:val="heading 2"/>
    <w:next w:val="Normal"/>
    <w:link w:val="Heading2Char"/>
    <w:qFormat/>
    <w:rsid w:val="00126DA2"/>
    <w:pPr>
      <w:outlineLvl w:val="1"/>
    </w:pPr>
    <w:rPr>
      <w:rFonts w:ascii="Arial" w:hAnsi="Arial" w:cs="Times New Roman"/>
      <w:b/>
      <w:kern w:val="24"/>
      <w:sz w:val="24"/>
      <w:szCs w:val="20"/>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uiPriority w:val="99"/>
    <w:rsid w:val="00C91823"/>
    <w:pPr>
      <w:tabs>
        <w:tab w:val="center" w:pos="4153"/>
        <w:tab w:val="right" w:pos="8306"/>
      </w:tabs>
    </w:pPr>
  </w:style>
  <w:style w:type="character" w:customStyle="1" w:styleId="HeaderChar">
    <w:name w:val="Header Char"/>
    <w:basedOn w:val="DefaultParagraphFont"/>
    <w:link w:val="Header"/>
    <w:uiPriority w:val="99"/>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380EAD"/>
    <w:rPr>
      <w:rFonts w:ascii="Arial" w:hAnsi="Arial" w:cs="Times New Roman"/>
      <w:kern w:val="24"/>
      <w:sz w:val="24"/>
      <w:szCs w:val="20"/>
      <w:shd w:val="clear" w:color="auto" w:fill="BDD6EE" w:themeFill="accent1" w:themeFillTint="66"/>
    </w:rPr>
  </w:style>
  <w:style w:type="character" w:customStyle="1" w:styleId="Heading2Char">
    <w:name w:val="Heading 2 Char"/>
    <w:basedOn w:val="DefaultParagraphFont"/>
    <w:link w:val="Heading2"/>
    <w:rsid w:val="00126DA2"/>
    <w:rPr>
      <w:rFonts w:ascii="Arial" w:hAnsi="Arial" w:cs="Times New Roman"/>
      <w:b/>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Spacing">
    <w:name w:val="No Spacing"/>
    <w:link w:val="NoSpacingChar"/>
    <w:uiPriority w:val="1"/>
    <w:qFormat/>
    <w:rsid w:val="00380EAD"/>
    <w:rPr>
      <w:rFonts w:eastAsiaTheme="minorEastAsia"/>
      <w:lang w:val="en-US"/>
    </w:rPr>
  </w:style>
  <w:style w:type="character" w:customStyle="1" w:styleId="NoSpacingChar">
    <w:name w:val="No Spacing Char"/>
    <w:basedOn w:val="DefaultParagraphFont"/>
    <w:link w:val="NoSpacing"/>
    <w:uiPriority w:val="1"/>
    <w:rsid w:val="00380EAD"/>
    <w:rPr>
      <w:rFonts w:eastAsiaTheme="minorEastAsia"/>
      <w:lang w:val="en-US"/>
    </w:rPr>
  </w:style>
  <w:style w:type="paragraph" w:styleId="TOCHeading">
    <w:name w:val="TOC Heading"/>
    <w:basedOn w:val="Heading1"/>
    <w:next w:val="Normal"/>
    <w:uiPriority w:val="39"/>
    <w:unhideWhenUsed/>
    <w:qFormat/>
    <w:rsid w:val="00380EAD"/>
    <w:pPr>
      <w:keepNext/>
      <w:keepLines/>
      <w:numPr>
        <w:numId w:val="0"/>
      </w:numPr>
      <w:spacing w:before="240" w:line="259" w:lineRule="auto"/>
      <w:outlineLvl w:val="9"/>
    </w:pPr>
    <w:rPr>
      <w:rFonts w:asciiTheme="majorHAnsi" w:eastAsiaTheme="majorEastAsia" w:hAnsiTheme="majorHAnsi" w:cstheme="majorBidi"/>
      <w:color w:val="2E74B5" w:themeColor="accent1" w:themeShade="BF"/>
      <w:kern w:val="0"/>
      <w:sz w:val="32"/>
      <w:szCs w:val="32"/>
      <w:lang w:val="en-US"/>
    </w:rPr>
  </w:style>
  <w:style w:type="paragraph" w:styleId="TOC1">
    <w:name w:val="toc 1"/>
    <w:basedOn w:val="Normal"/>
    <w:next w:val="Normal"/>
    <w:autoRedefine/>
    <w:uiPriority w:val="39"/>
    <w:unhideWhenUsed/>
    <w:rsid w:val="00380EAD"/>
    <w:pPr>
      <w:spacing w:after="100"/>
    </w:pPr>
  </w:style>
  <w:style w:type="character" w:styleId="Hyperlink">
    <w:name w:val="Hyperlink"/>
    <w:basedOn w:val="DefaultParagraphFont"/>
    <w:uiPriority w:val="99"/>
    <w:unhideWhenUsed/>
    <w:rsid w:val="00380EAD"/>
    <w:rPr>
      <w:color w:val="0563C1" w:themeColor="hyperlink"/>
      <w:u w:val="single"/>
    </w:rPr>
  </w:style>
  <w:style w:type="paragraph" w:styleId="TOC2">
    <w:name w:val="toc 2"/>
    <w:basedOn w:val="Normal"/>
    <w:next w:val="Normal"/>
    <w:autoRedefine/>
    <w:uiPriority w:val="39"/>
    <w:unhideWhenUsed/>
    <w:rsid w:val="00380EAD"/>
    <w:pPr>
      <w:spacing w:after="100"/>
      <w:ind w:left="240"/>
    </w:pPr>
  </w:style>
  <w:style w:type="paragraph" w:styleId="ListParagraph">
    <w:name w:val="List Paragraph"/>
    <w:basedOn w:val="Normal"/>
    <w:uiPriority w:val="34"/>
    <w:qFormat/>
    <w:rsid w:val="00380EAD"/>
    <w:pPr>
      <w:ind w:left="720"/>
      <w:contextualSpacing/>
    </w:pPr>
  </w:style>
  <w:style w:type="table" w:styleId="TableGrid">
    <w:name w:val="Table Grid"/>
    <w:basedOn w:val="TableNormal"/>
    <w:uiPriority w:val="39"/>
    <w:rsid w:val="00380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80EAD"/>
    <w:rPr>
      <w:sz w:val="16"/>
      <w:szCs w:val="16"/>
    </w:rPr>
  </w:style>
  <w:style w:type="paragraph" w:styleId="CommentText">
    <w:name w:val="annotation text"/>
    <w:basedOn w:val="Normal"/>
    <w:link w:val="CommentTextChar"/>
    <w:uiPriority w:val="99"/>
    <w:semiHidden/>
    <w:unhideWhenUsed/>
    <w:rsid w:val="00380EAD"/>
    <w:rPr>
      <w:sz w:val="20"/>
    </w:rPr>
  </w:style>
  <w:style w:type="character" w:customStyle="1" w:styleId="CommentTextChar">
    <w:name w:val="Comment Text Char"/>
    <w:basedOn w:val="DefaultParagraphFont"/>
    <w:link w:val="CommentText"/>
    <w:uiPriority w:val="99"/>
    <w:semiHidden/>
    <w:rsid w:val="00380EAD"/>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380EAD"/>
    <w:rPr>
      <w:b/>
      <w:bCs/>
    </w:rPr>
  </w:style>
  <w:style w:type="character" w:customStyle="1" w:styleId="CommentSubjectChar">
    <w:name w:val="Comment Subject Char"/>
    <w:basedOn w:val="CommentTextChar"/>
    <w:link w:val="CommentSubject"/>
    <w:uiPriority w:val="99"/>
    <w:semiHidden/>
    <w:rsid w:val="00380EAD"/>
    <w:rPr>
      <w:rFonts w:ascii="Arial" w:hAnsi="Arial" w:cs="Times New Roman"/>
      <w:b/>
      <w:bCs/>
      <w:sz w:val="20"/>
      <w:szCs w:val="20"/>
    </w:rPr>
  </w:style>
  <w:style w:type="paragraph" w:styleId="BalloonText">
    <w:name w:val="Balloon Text"/>
    <w:basedOn w:val="Normal"/>
    <w:link w:val="BalloonTextChar"/>
    <w:uiPriority w:val="99"/>
    <w:semiHidden/>
    <w:unhideWhenUsed/>
    <w:rsid w:val="00380E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EAD"/>
    <w:rPr>
      <w:rFonts w:ascii="Segoe UI" w:hAnsi="Segoe UI" w:cs="Segoe UI"/>
      <w:sz w:val="18"/>
      <w:szCs w:val="18"/>
    </w:rPr>
  </w:style>
  <w:style w:type="paragraph" w:styleId="FootnoteText">
    <w:name w:val="footnote text"/>
    <w:basedOn w:val="Normal"/>
    <w:link w:val="FootnoteTextChar"/>
    <w:uiPriority w:val="99"/>
    <w:semiHidden/>
    <w:unhideWhenUsed/>
    <w:rsid w:val="00B11939"/>
    <w:rPr>
      <w:sz w:val="20"/>
    </w:rPr>
  </w:style>
  <w:style w:type="character" w:customStyle="1" w:styleId="FootnoteTextChar">
    <w:name w:val="Footnote Text Char"/>
    <w:basedOn w:val="DefaultParagraphFont"/>
    <w:link w:val="FootnoteText"/>
    <w:uiPriority w:val="99"/>
    <w:semiHidden/>
    <w:rsid w:val="00B11939"/>
    <w:rPr>
      <w:rFonts w:ascii="Arial" w:hAnsi="Arial" w:cs="Times New Roman"/>
      <w:sz w:val="20"/>
      <w:szCs w:val="20"/>
    </w:rPr>
  </w:style>
  <w:style w:type="character" w:styleId="FootnoteReference">
    <w:name w:val="footnote reference"/>
    <w:basedOn w:val="DefaultParagraphFont"/>
    <w:uiPriority w:val="99"/>
    <w:semiHidden/>
    <w:unhideWhenUsed/>
    <w:rsid w:val="00B11939"/>
    <w:rPr>
      <w:vertAlign w:val="superscript"/>
    </w:rPr>
  </w:style>
  <w:style w:type="paragraph" w:styleId="Revision">
    <w:name w:val="Revision"/>
    <w:hidden/>
    <w:uiPriority w:val="99"/>
    <w:semiHidden/>
    <w:rsid w:val="003F397A"/>
    <w:rPr>
      <w:rFonts w:ascii="Arial" w:hAnsi="Arial" w:cs="Times New Roman"/>
      <w:sz w:val="24"/>
      <w:szCs w:val="20"/>
    </w:rPr>
  </w:style>
  <w:style w:type="paragraph" w:styleId="TOC3">
    <w:name w:val="toc 3"/>
    <w:basedOn w:val="Normal"/>
    <w:next w:val="Normal"/>
    <w:autoRedefine/>
    <w:uiPriority w:val="39"/>
    <w:unhideWhenUsed/>
    <w:rsid w:val="00126DA2"/>
    <w:pPr>
      <w:spacing w:after="100" w:line="259" w:lineRule="auto"/>
      <w:ind w:left="440"/>
    </w:pPr>
    <w:rPr>
      <w:rFonts w:asciiTheme="minorHAnsi" w:eastAsiaTheme="minorEastAsia" w:hAnsiTheme="minorHAnsi"/>
      <w:sz w:val="22"/>
      <w:szCs w:val="22"/>
      <w:lang w:val="en-US"/>
    </w:rPr>
  </w:style>
  <w:style w:type="character" w:styleId="FollowedHyperlink">
    <w:name w:val="FollowedHyperlink"/>
    <w:basedOn w:val="DefaultParagraphFont"/>
    <w:uiPriority w:val="99"/>
    <w:semiHidden/>
    <w:unhideWhenUsed/>
    <w:rsid w:val="008337D8"/>
    <w:rPr>
      <w:color w:val="954F72" w:themeColor="followedHyperlink"/>
      <w:u w:val="single"/>
    </w:rPr>
  </w:style>
  <w:style w:type="paragraph" w:styleId="Title">
    <w:name w:val="Title"/>
    <w:basedOn w:val="NormalWeb"/>
    <w:next w:val="Normal"/>
    <w:link w:val="TitleChar"/>
    <w:uiPriority w:val="10"/>
    <w:qFormat/>
    <w:rsid w:val="003413E3"/>
    <w:rPr>
      <w:rFonts w:ascii="Arial" w:eastAsiaTheme="minorEastAsia" w:hAnsi="Arial" w:cs="Arial"/>
      <w:b/>
      <w:bCs/>
      <w:color w:val="FFFFFF" w:themeColor="background1"/>
      <w:kern w:val="24"/>
      <w:sz w:val="64"/>
      <w:szCs w:val="64"/>
      <w:lang w:eastAsia="en-GB"/>
    </w:rPr>
  </w:style>
  <w:style w:type="character" w:customStyle="1" w:styleId="TitleChar">
    <w:name w:val="Title Char"/>
    <w:basedOn w:val="DefaultParagraphFont"/>
    <w:link w:val="Title"/>
    <w:uiPriority w:val="10"/>
    <w:rsid w:val="003413E3"/>
    <w:rPr>
      <w:rFonts w:ascii="Arial" w:eastAsiaTheme="minorEastAsia" w:hAnsi="Arial" w:cs="Arial"/>
      <w:b/>
      <w:bCs/>
      <w:color w:val="FFFFFF" w:themeColor="background1"/>
      <w:kern w:val="24"/>
      <w:sz w:val="64"/>
      <w:szCs w:val="64"/>
      <w:lang w:eastAsia="en-GB"/>
    </w:rPr>
  </w:style>
  <w:style w:type="paragraph" w:styleId="NormalWeb">
    <w:name w:val="Normal (Web)"/>
    <w:basedOn w:val="Normal"/>
    <w:uiPriority w:val="99"/>
    <w:semiHidden/>
    <w:unhideWhenUsed/>
    <w:rsid w:val="003413E3"/>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620386">
      <w:bodyDiv w:val="1"/>
      <w:marLeft w:val="0"/>
      <w:marRight w:val="0"/>
      <w:marTop w:val="0"/>
      <w:marBottom w:val="0"/>
      <w:divBdr>
        <w:top w:val="none" w:sz="0" w:space="0" w:color="auto"/>
        <w:left w:val="none" w:sz="0" w:space="0" w:color="auto"/>
        <w:bottom w:val="none" w:sz="0" w:space="0" w:color="auto"/>
        <w:right w:val="none" w:sz="0" w:space="0" w:color="auto"/>
      </w:divBdr>
      <w:divsChild>
        <w:div w:id="1348096910">
          <w:marLeft w:val="547"/>
          <w:marRight w:val="0"/>
          <w:marTop w:val="0"/>
          <w:marBottom w:val="0"/>
          <w:divBdr>
            <w:top w:val="none" w:sz="0" w:space="0" w:color="auto"/>
            <w:left w:val="none" w:sz="0" w:space="0" w:color="auto"/>
            <w:bottom w:val="none" w:sz="0" w:space="0" w:color="auto"/>
            <w:right w:val="none" w:sz="0" w:space="0" w:color="auto"/>
          </w:divBdr>
        </w:div>
      </w:divsChild>
    </w:div>
    <w:div w:id="328022480">
      <w:bodyDiv w:val="1"/>
      <w:marLeft w:val="0"/>
      <w:marRight w:val="0"/>
      <w:marTop w:val="0"/>
      <w:marBottom w:val="0"/>
      <w:divBdr>
        <w:top w:val="none" w:sz="0" w:space="0" w:color="auto"/>
        <w:left w:val="none" w:sz="0" w:space="0" w:color="auto"/>
        <w:bottom w:val="none" w:sz="0" w:space="0" w:color="auto"/>
        <w:right w:val="none" w:sz="0" w:space="0" w:color="auto"/>
      </w:divBdr>
    </w:div>
    <w:div w:id="456724349">
      <w:bodyDiv w:val="1"/>
      <w:marLeft w:val="0"/>
      <w:marRight w:val="0"/>
      <w:marTop w:val="0"/>
      <w:marBottom w:val="0"/>
      <w:divBdr>
        <w:top w:val="none" w:sz="0" w:space="0" w:color="auto"/>
        <w:left w:val="none" w:sz="0" w:space="0" w:color="auto"/>
        <w:bottom w:val="none" w:sz="0" w:space="0" w:color="auto"/>
        <w:right w:val="none" w:sz="0" w:space="0" w:color="auto"/>
      </w:divBdr>
      <w:divsChild>
        <w:div w:id="873155930">
          <w:marLeft w:val="547"/>
          <w:marRight w:val="0"/>
          <w:marTop w:val="0"/>
          <w:marBottom w:val="0"/>
          <w:divBdr>
            <w:top w:val="none" w:sz="0" w:space="0" w:color="auto"/>
            <w:left w:val="none" w:sz="0" w:space="0" w:color="auto"/>
            <w:bottom w:val="none" w:sz="0" w:space="0" w:color="auto"/>
            <w:right w:val="none" w:sz="0" w:space="0" w:color="auto"/>
          </w:divBdr>
        </w:div>
      </w:divsChild>
    </w:div>
    <w:div w:id="798498613">
      <w:bodyDiv w:val="1"/>
      <w:marLeft w:val="0"/>
      <w:marRight w:val="0"/>
      <w:marTop w:val="0"/>
      <w:marBottom w:val="0"/>
      <w:divBdr>
        <w:top w:val="none" w:sz="0" w:space="0" w:color="auto"/>
        <w:left w:val="none" w:sz="0" w:space="0" w:color="auto"/>
        <w:bottom w:val="none" w:sz="0" w:space="0" w:color="auto"/>
        <w:right w:val="none" w:sz="0" w:space="0" w:color="auto"/>
      </w:divBdr>
      <w:divsChild>
        <w:div w:id="1293949301">
          <w:marLeft w:val="547"/>
          <w:marRight w:val="0"/>
          <w:marTop w:val="0"/>
          <w:marBottom w:val="0"/>
          <w:divBdr>
            <w:top w:val="none" w:sz="0" w:space="0" w:color="auto"/>
            <w:left w:val="none" w:sz="0" w:space="0" w:color="auto"/>
            <w:bottom w:val="none" w:sz="0" w:space="0" w:color="auto"/>
            <w:right w:val="none" w:sz="0" w:space="0" w:color="auto"/>
          </w:divBdr>
        </w:div>
      </w:divsChild>
    </w:div>
    <w:div w:id="1308392966">
      <w:bodyDiv w:val="1"/>
      <w:marLeft w:val="0"/>
      <w:marRight w:val="0"/>
      <w:marTop w:val="0"/>
      <w:marBottom w:val="0"/>
      <w:divBdr>
        <w:top w:val="none" w:sz="0" w:space="0" w:color="auto"/>
        <w:left w:val="none" w:sz="0" w:space="0" w:color="auto"/>
        <w:bottom w:val="none" w:sz="0" w:space="0" w:color="auto"/>
        <w:right w:val="none" w:sz="0" w:space="0" w:color="auto"/>
      </w:divBdr>
    </w:div>
    <w:div w:id="1758748170">
      <w:bodyDiv w:val="1"/>
      <w:marLeft w:val="0"/>
      <w:marRight w:val="0"/>
      <w:marTop w:val="0"/>
      <w:marBottom w:val="0"/>
      <w:divBdr>
        <w:top w:val="none" w:sz="0" w:space="0" w:color="auto"/>
        <w:left w:val="none" w:sz="0" w:space="0" w:color="auto"/>
        <w:bottom w:val="none" w:sz="0" w:space="0" w:color="auto"/>
        <w:right w:val="none" w:sz="0" w:space="0" w:color="auto"/>
      </w:divBdr>
    </w:div>
    <w:div w:id="178784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scot/publications/one-left-behind-next-steps-integration-alignment-employability-support-scotland/pages/1/" TargetMode="External"/><Relationship Id="rId18" Type="http://schemas.openxmlformats.org/officeDocument/2006/relationships/diagramQuickStyle" Target="diagrams/quickStyle1.xml"/><Relationship Id="rId26" Type="http://schemas.openxmlformats.org/officeDocument/2006/relationships/hyperlink" Target="https://www.employabilityinscotland.com/media/ckrj2tn5/employability-service-design-toolkit-9.pdf" TargetMode="External"/><Relationship Id="rId3" Type="http://schemas.openxmlformats.org/officeDocument/2006/relationships/numbering" Target="numbering.xml"/><Relationship Id="rId21" Type="http://schemas.openxmlformats.org/officeDocument/2006/relationships/hyperlink" Target="https://www.employabilityinscotland.com/media/qwgnhgzj/publication-customer-charter.docx"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diagramLayout" Target="diagrams/layout1.xml"/><Relationship Id="rId25" Type="http://schemas.openxmlformats.org/officeDocument/2006/relationships/hyperlink" Target="https://www.gov.scot/publications/the-scottish-approach-to-service-design/"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hyperlink" Target="https://www.gov.scot/publications/commission-future-delivery-public-servi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3.xml"/><Relationship Id="rId32"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ww.employabilityinscotland.com/media/pgujxbke/for-publication-shared-measurement-framework.pdf" TargetMode="External"/><Relationship Id="rId23" Type="http://schemas.openxmlformats.org/officeDocument/2006/relationships/image" Target="media/image2.png"/><Relationship Id="rId28" Type="http://schemas.openxmlformats.org/officeDocument/2006/relationships/hyperlink" Target="https://www.employabilityinscotland.com/media/iedly24y/continuous-improvement-toolkit-for-publication.docx"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diagramColors" Target="diagrams/colors1.xml"/><Relationship Id="rId31" Type="http://schemas.openxmlformats.org/officeDocument/2006/relationships/hyperlink" Target="https://www.employabilityinscotland.com/media/pgujxbke/for-publication-shared-measurement-framework.pdf"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gov.scot/publications/one-left-behind-review-employability-services/pages/6/" TargetMode="External"/><Relationship Id="rId22" Type="http://schemas.openxmlformats.org/officeDocument/2006/relationships/hyperlink" Target="https://www.employabilityinscotland.com/media/pgujxbke/for-publication-shared-measurement-framework.pdf" TargetMode="External"/><Relationship Id="rId27" Type="http://schemas.openxmlformats.org/officeDocument/2006/relationships/hyperlink" Target="https://www.employabilityinscotland.com/media/pgujxbke/for-publication-shared-measurement-framework.pdf" TargetMode="External"/><Relationship Id="rId30" Type="http://schemas.openxmlformats.org/officeDocument/2006/relationships/image" Target="media/image3.png"/><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5A2967-F726-4DE2-992D-775E89FEE243}" type="doc">
      <dgm:prSet loTypeId="urn:microsoft.com/office/officeart/2008/layout/VerticalCurvedList" loCatId="list" qsTypeId="urn:microsoft.com/office/officeart/2005/8/quickstyle/simple1" qsCatId="simple" csTypeId="urn:microsoft.com/office/officeart/2005/8/colors/accent0_3" csCatId="mainScheme" phldr="1"/>
      <dgm:spPr/>
      <dgm:t>
        <a:bodyPr/>
        <a:lstStyle/>
        <a:p>
          <a:endParaRPr lang="en-US"/>
        </a:p>
      </dgm:t>
    </dgm:pt>
    <dgm:pt modelId="{9E34FEAC-8742-4C0F-9039-AE865567EF64}">
      <dgm:prSet phldrT="[Text]"/>
      <dgm:spPr/>
      <dgm:t>
        <a:bodyPr/>
        <a:lstStyle/>
        <a:p>
          <a:r>
            <a:rPr lang="en-GB" b="0" i="0" dirty="0" smtClean="0"/>
            <a:t>A system that provides flexible and </a:t>
          </a:r>
          <a:r>
            <a:rPr lang="en-GB" b="1" i="0" dirty="0" smtClean="0"/>
            <a:t>person-centred support;</a:t>
          </a:r>
          <a:endParaRPr lang="en-US" dirty="0"/>
        </a:p>
      </dgm:t>
    </dgm:pt>
    <dgm:pt modelId="{5B2DE2F3-4A64-4376-9D13-F189A0635463}" type="parTrans" cxnId="{5A4D97A1-09F7-4360-8E37-8F2B4422834F}">
      <dgm:prSet/>
      <dgm:spPr/>
      <dgm:t>
        <a:bodyPr/>
        <a:lstStyle/>
        <a:p>
          <a:endParaRPr lang="en-US"/>
        </a:p>
      </dgm:t>
    </dgm:pt>
    <dgm:pt modelId="{1D12FA71-6813-45AA-A261-0BD047B41087}" type="sibTrans" cxnId="{5A4D97A1-09F7-4360-8E37-8F2B4422834F}">
      <dgm:prSet/>
      <dgm:spPr/>
      <dgm:t>
        <a:bodyPr/>
        <a:lstStyle/>
        <a:p>
          <a:endParaRPr lang="en-US"/>
        </a:p>
      </dgm:t>
    </dgm:pt>
    <dgm:pt modelId="{5BBBCB18-E39F-4103-9CE5-9D462671DF89}">
      <dgm:prSet phldrT="[Text]"/>
      <dgm:spPr/>
      <dgm:t>
        <a:bodyPr/>
        <a:lstStyle/>
        <a:p>
          <a:r>
            <a:rPr lang="en-US" dirty="0" smtClean="0"/>
            <a:t>i</a:t>
          </a:r>
          <a:r>
            <a:rPr lang="en-GB" b="0" i="0" dirty="0" smtClean="0"/>
            <a:t>s more </a:t>
          </a:r>
          <a:r>
            <a:rPr lang="en-GB" b="1" i="0" dirty="0" smtClean="0"/>
            <a:t>straightforward</a:t>
          </a:r>
          <a:r>
            <a:rPr lang="en-GB" b="0" i="0" dirty="0" smtClean="0"/>
            <a:t> for people to navigate;</a:t>
          </a:r>
          <a:endParaRPr lang="en-US" dirty="0"/>
        </a:p>
      </dgm:t>
    </dgm:pt>
    <dgm:pt modelId="{D9FF2655-F77A-4232-86D3-D6DB3C8AD1E1}" type="parTrans" cxnId="{82FB49C6-FAA4-49A4-8C05-4364642077E6}">
      <dgm:prSet/>
      <dgm:spPr/>
      <dgm:t>
        <a:bodyPr/>
        <a:lstStyle/>
        <a:p>
          <a:endParaRPr lang="en-US"/>
        </a:p>
      </dgm:t>
    </dgm:pt>
    <dgm:pt modelId="{F4851ECD-0028-402C-A38B-357B246F5341}" type="sibTrans" cxnId="{82FB49C6-FAA4-49A4-8C05-4364642077E6}">
      <dgm:prSet/>
      <dgm:spPr/>
      <dgm:t>
        <a:bodyPr/>
        <a:lstStyle/>
        <a:p>
          <a:endParaRPr lang="en-US"/>
        </a:p>
      </dgm:t>
    </dgm:pt>
    <dgm:pt modelId="{25084F3C-BB88-4D28-8936-383F3FB986DF}">
      <dgm:prSet phldrT="[Text]"/>
      <dgm:spPr/>
      <dgm:t>
        <a:bodyPr/>
        <a:lstStyle/>
        <a:p>
          <a:r>
            <a:rPr lang="en-GB" b="0" i="0" dirty="0" smtClean="0"/>
            <a:t>is better </a:t>
          </a:r>
          <a:r>
            <a:rPr lang="en-GB" b="1" i="0" dirty="0" smtClean="0"/>
            <a:t>integrated and aligned</a:t>
          </a:r>
          <a:r>
            <a:rPr lang="en-GB" b="0" i="0" dirty="0" smtClean="0"/>
            <a:t> with other services, in particular, although not exclusively with health provision;</a:t>
          </a:r>
          <a:endParaRPr lang="en-US" dirty="0"/>
        </a:p>
      </dgm:t>
    </dgm:pt>
    <dgm:pt modelId="{EF573C9C-9F20-46F5-AF12-D272EF3EBA73}" type="parTrans" cxnId="{9EE3DEC0-D061-4443-8CED-FDD2CD3AB869}">
      <dgm:prSet/>
      <dgm:spPr/>
      <dgm:t>
        <a:bodyPr/>
        <a:lstStyle/>
        <a:p>
          <a:endParaRPr lang="en-US"/>
        </a:p>
      </dgm:t>
    </dgm:pt>
    <dgm:pt modelId="{42D001F1-87A2-4841-B638-C91180FB9B26}" type="sibTrans" cxnId="{9EE3DEC0-D061-4443-8CED-FDD2CD3AB869}">
      <dgm:prSet/>
      <dgm:spPr/>
      <dgm:t>
        <a:bodyPr/>
        <a:lstStyle/>
        <a:p>
          <a:endParaRPr lang="en-US"/>
        </a:p>
      </dgm:t>
    </dgm:pt>
    <dgm:pt modelId="{7C2F6CA3-DC85-402F-89B8-28508B8FB10B}">
      <dgm:prSet phldrT="[Text]"/>
      <dgm:spPr/>
      <dgm:t>
        <a:bodyPr/>
        <a:lstStyle/>
        <a:p>
          <a:r>
            <a:rPr lang="en-GB" b="0" i="0" dirty="0" smtClean="0"/>
            <a:t>provides pathways into </a:t>
          </a:r>
          <a:r>
            <a:rPr lang="en-GB" b="1" i="0" dirty="0" smtClean="0"/>
            <a:t>sustainable and fair work;</a:t>
          </a:r>
          <a:endParaRPr lang="en-US" dirty="0"/>
        </a:p>
      </dgm:t>
    </dgm:pt>
    <dgm:pt modelId="{0CF0E961-8D7D-422F-A10A-929866D988EF}" type="parTrans" cxnId="{F0F85ACA-2702-4AFF-8391-F68D26E24561}">
      <dgm:prSet/>
      <dgm:spPr/>
      <dgm:t>
        <a:bodyPr/>
        <a:lstStyle/>
        <a:p>
          <a:endParaRPr lang="en-US"/>
        </a:p>
      </dgm:t>
    </dgm:pt>
    <dgm:pt modelId="{0E2A90E8-366B-45A7-A2B2-B0F3B0EFB716}" type="sibTrans" cxnId="{F0F85ACA-2702-4AFF-8391-F68D26E24561}">
      <dgm:prSet/>
      <dgm:spPr/>
      <dgm:t>
        <a:bodyPr/>
        <a:lstStyle/>
        <a:p>
          <a:endParaRPr lang="en-US"/>
        </a:p>
      </dgm:t>
    </dgm:pt>
    <dgm:pt modelId="{BE27F215-A277-477C-B9B7-D61A96344B4B}">
      <dgm:prSet phldrT="[Text]"/>
      <dgm:spPr/>
      <dgm:t>
        <a:bodyPr/>
        <a:lstStyle/>
        <a:p>
          <a:r>
            <a:rPr lang="en-GB" b="0" i="0" dirty="0" smtClean="0"/>
            <a:t>is </a:t>
          </a:r>
          <a:r>
            <a:rPr lang="en-GB" b="1" i="0" dirty="0" smtClean="0"/>
            <a:t>driven by evidence</a:t>
          </a:r>
          <a:r>
            <a:rPr lang="en-GB" b="0" i="0" dirty="0" smtClean="0"/>
            <a:t>, including data and the experience of users; and</a:t>
          </a:r>
          <a:endParaRPr lang="en-US" dirty="0"/>
        </a:p>
      </dgm:t>
    </dgm:pt>
    <dgm:pt modelId="{0BFA6E30-CDE7-4231-A8DF-AC32F09B6343}" type="parTrans" cxnId="{64A58A02-0BF4-4F41-8E07-4EAE82BDE50E}">
      <dgm:prSet/>
      <dgm:spPr/>
      <dgm:t>
        <a:bodyPr/>
        <a:lstStyle/>
        <a:p>
          <a:endParaRPr lang="en-US"/>
        </a:p>
      </dgm:t>
    </dgm:pt>
    <dgm:pt modelId="{9E8F3FC6-B026-475B-AAF7-48C4CA499F88}" type="sibTrans" cxnId="{64A58A02-0BF4-4F41-8E07-4EAE82BDE50E}">
      <dgm:prSet/>
      <dgm:spPr/>
      <dgm:t>
        <a:bodyPr/>
        <a:lstStyle/>
        <a:p>
          <a:endParaRPr lang="en-US"/>
        </a:p>
      </dgm:t>
    </dgm:pt>
    <dgm:pt modelId="{C7259D90-8E12-44BD-87A5-DDDFCF2C7445}">
      <dgm:prSet phldrT="[Text]"/>
      <dgm:spPr/>
      <dgm:t>
        <a:bodyPr/>
        <a:lstStyle/>
        <a:p>
          <a:r>
            <a:rPr lang="en-GB" b="0" i="0" smtClean="0"/>
            <a:t>that supports more people – particularly those facing multiple barriers – to move into the </a:t>
          </a:r>
          <a:r>
            <a:rPr lang="en-GB" b="1" i="0" smtClean="0"/>
            <a:t>right job, at the right time</a:t>
          </a:r>
          <a:endParaRPr lang="en-US" dirty="0"/>
        </a:p>
      </dgm:t>
    </dgm:pt>
    <dgm:pt modelId="{02C3FACA-AC37-4930-99F9-F40FAB4AC37A}" type="parTrans" cxnId="{EA4C4E3F-428C-493E-A643-E423157CBB1C}">
      <dgm:prSet/>
      <dgm:spPr/>
      <dgm:t>
        <a:bodyPr/>
        <a:lstStyle/>
        <a:p>
          <a:endParaRPr lang="en-US"/>
        </a:p>
      </dgm:t>
    </dgm:pt>
    <dgm:pt modelId="{3BFA087E-19D3-4686-9541-008943821464}" type="sibTrans" cxnId="{EA4C4E3F-428C-493E-A643-E423157CBB1C}">
      <dgm:prSet/>
      <dgm:spPr/>
      <dgm:t>
        <a:bodyPr/>
        <a:lstStyle/>
        <a:p>
          <a:endParaRPr lang="en-US"/>
        </a:p>
      </dgm:t>
    </dgm:pt>
    <dgm:pt modelId="{50D97C78-DF9B-44EF-B79B-18FB370ED418}" type="pres">
      <dgm:prSet presAssocID="{B65A2967-F726-4DE2-992D-775E89FEE243}" presName="Name0" presStyleCnt="0">
        <dgm:presLayoutVars>
          <dgm:chMax val="7"/>
          <dgm:chPref val="7"/>
          <dgm:dir/>
        </dgm:presLayoutVars>
      </dgm:prSet>
      <dgm:spPr/>
      <dgm:t>
        <a:bodyPr/>
        <a:lstStyle/>
        <a:p>
          <a:endParaRPr lang="en-US"/>
        </a:p>
      </dgm:t>
    </dgm:pt>
    <dgm:pt modelId="{26305412-039C-4166-8C30-8057321EF1FA}" type="pres">
      <dgm:prSet presAssocID="{B65A2967-F726-4DE2-992D-775E89FEE243}" presName="Name1" presStyleCnt="0"/>
      <dgm:spPr/>
    </dgm:pt>
    <dgm:pt modelId="{427251C1-3D4B-4680-989F-925A76F4C7E1}" type="pres">
      <dgm:prSet presAssocID="{B65A2967-F726-4DE2-992D-775E89FEE243}" presName="cycle" presStyleCnt="0"/>
      <dgm:spPr/>
    </dgm:pt>
    <dgm:pt modelId="{F281B917-B17D-47D9-838D-354D1058F777}" type="pres">
      <dgm:prSet presAssocID="{B65A2967-F726-4DE2-992D-775E89FEE243}" presName="srcNode" presStyleLbl="node1" presStyleIdx="0" presStyleCnt="6"/>
      <dgm:spPr/>
    </dgm:pt>
    <dgm:pt modelId="{E8A469D3-95A5-4E76-9A85-F3716934B2B4}" type="pres">
      <dgm:prSet presAssocID="{B65A2967-F726-4DE2-992D-775E89FEE243}" presName="conn" presStyleLbl="parChTrans1D2" presStyleIdx="0" presStyleCnt="1"/>
      <dgm:spPr/>
      <dgm:t>
        <a:bodyPr/>
        <a:lstStyle/>
        <a:p>
          <a:endParaRPr lang="en-US"/>
        </a:p>
      </dgm:t>
    </dgm:pt>
    <dgm:pt modelId="{A20E8E54-5FF2-4571-85B0-39116690FDD6}" type="pres">
      <dgm:prSet presAssocID="{B65A2967-F726-4DE2-992D-775E89FEE243}" presName="extraNode" presStyleLbl="node1" presStyleIdx="0" presStyleCnt="6"/>
      <dgm:spPr/>
    </dgm:pt>
    <dgm:pt modelId="{766D8DEB-AFF6-4C6D-95DA-41F79DDF5222}" type="pres">
      <dgm:prSet presAssocID="{B65A2967-F726-4DE2-992D-775E89FEE243}" presName="dstNode" presStyleLbl="node1" presStyleIdx="0" presStyleCnt="6"/>
      <dgm:spPr/>
    </dgm:pt>
    <dgm:pt modelId="{3C349995-E743-40A4-A337-12D1E45C9C83}" type="pres">
      <dgm:prSet presAssocID="{9E34FEAC-8742-4C0F-9039-AE865567EF64}" presName="text_1" presStyleLbl="node1" presStyleIdx="0" presStyleCnt="6">
        <dgm:presLayoutVars>
          <dgm:bulletEnabled val="1"/>
        </dgm:presLayoutVars>
      </dgm:prSet>
      <dgm:spPr/>
      <dgm:t>
        <a:bodyPr/>
        <a:lstStyle/>
        <a:p>
          <a:endParaRPr lang="en-US"/>
        </a:p>
      </dgm:t>
    </dgm:pt>
    <dgm:pt modelId="{12D5D911-00FE-4908-8353-EA42931DC190}" type="pres">
      <dgm:prSet presAssocID="{9E34FEAC-8742-4C0F-9039-AE865567EF64}" presName="accent_1" presStyleCnt="0"/>
      <dgm:spPr/>
    </dgm:pt>
    <dgm:pt modelId="{3F889F68-A909-4CF3-A8A2-FB879628FADB}" type="pres">
      <dgm:prSet presAssocID="{9E34FEAC-8742-4C0F-9039-AE865567EF64}" presName="accentRepeatNode" presStyleLbl="solidFgAcc1" presStyleIdx="0" presStyleCnt="6"/>
      <dgm:spPr/>
    </dgm:pt>
    <dgm:pt modelId="{5DDB9E25-78F1-49FB-B1E9-12CBBA705986}" type="pres">
      <dgm:prSet presAssocID="{5BBBCB18-E39F-4103-9CE5-9D462671DF89}" presName="text_2" presStyleLbl="node1" presStyleIdx="1" presStyleCnt="6" custLinFactNeighborX="108" custLinFactNeighborY="-2468">
        <dgm:presLayoutVars>
          <dgm:bulletEnabled val="1"/>
        </dgm:presLayoutVars>
      </dgm:prSet>
      <dgm:spPr/>
      <dgm:t>
        <a:bodyPr/>
        <a:lstStyle/>
        <a:p>
          <a:endParaRPr lang="en-US"/>
        </a:p>
      </dgm:t>
    </dgm:pt>
    <dgm:pt modelId="{F09BE230-1F05-4E89-B8EF-8C13CC3912D9}" type="pres">
      <dgm:prSet presAssocID="{5BBBCB18-E39F-4103-9CE5-9D462671DF89}" presName="accent_2" presStyleCnt="0"/>
      <dgm:spPr/>
    </dgm:pt>
    <dgm:pt modelId="{F1F2CFE4-7FB7-4F97-9939-CC4E932CC90E}" type="pres">
      <dgm:prSet presAssocID="{5BBBCB18-E39F-4103-9CE5-9D462671DF89}" presName="accentRepeatNode" presStyleLbl="solidFgAcc1" presStyleIdx="1" presStyleCnt="6"/>
      <dgm:spPr/>
    </dgm:pt>
    <dgm:pt modelId="{AB6BDBB3-C297-4E1E-9421-DF980F5013C1}" type="pres">
      <dgm:prSet presAssocID="{25084F3C-BB88-4D28-8936-383F3FB986DF}" presName="text_3" presStyleLbl="node1" presStyleIdx="2" presStyleCnt="6">
        <dgm:presLayoutVars>
          <dgm:bulletEnabled val="1"/>
        </dgm:presLayoutVars>
      </dgm:prSet>
      <dgm:spPr/>
      <dgm:t>
        <a:bodyPr/>
        <a:lstStyle/>
        <a:p>
          <a:endParaRPr lang="en-US"/>
        </a:p>
      </dgm:t>
    </dgm:pt>
    <dgm:pt modelId="{2D396ABC-CEC1-41EC-AADA-67060DCB20EF}" type="pres">
      <dgm:prSet presAssocID="{25084F3C-BB88-4D28-8936-383F3FB986DF}" presName="accent_3" presStyleCnt="0"/>
      <dgm:spPr/>
    </dgm:pt>
    <dgm:pt modelId="{7811965F-224A-4607-A046-6A29F73BC20B}" type="pres">
      <dgm:prSet presAssocID="{25084F3C-BB88-4D28-8936-383F3FB986DF}" presName="accentRepeatNode" presStyleLbl="solidFgAcc1" presStyleIdx="2" presStyleCnt="6"/>
      <dgm:spPr/>
    </dgm:pt>
    <dgm:pt modelId="{DC941765-CE86-4CFB-9F4F-B037FD147D82}" type="pres">
      <dgm:prSet presAssocID="{7C2F6CA3-DC85-402F-89B8-28508B8FB10B}" presName="text_4" presStyleLbl="node1" presStyleIdx="3" presStyleCnt="6">
        <dgm:presLayoutVars>
          <dgm:bulletEnabled val="1"/>
        </dgm:presLayoutVars>
      </dgm:prSet>
      <dgm:spPr/>
      <dgm:t>
        <a:bodyPr/>
        <a:lstStyle/>
        <a:p>
          <a:endParaRPr lang="en-US"/>
        </a:p>
      </dgm:t>
    </dgm:pt>
    <dgm:pt modelId="{206425E7-ECAD-4486-AA74-8A04E575B696}" type="pres">
      <dgm:prSet presAssocID="{7C2F6CA3-DC85-402F-89B8-28508B8FB10B}" presName="accent_4" presStyleCnt="0"/>
      <dgm:spPr/>
    </dgm:pt>
    <dgm:pt modelId="{F532C87F-1DD4-427A-AB0C-430A24F57684}" type="pres">
      <dgm:prSet presAssocID="{7C2F6CA3-DC85-402F-89B8-28508B8FB10B}" presName="accentRepeatNode" presStyleLbl="solidFgAcc1" presStyleIdx="3" presStyleCnt="6"/>
      <dgm:spPr/>
    </dgm:pt>
    <dgm:pt modelId="{A3124EC9-7CC9-4510-A1F6-136814EEEC12}" type="pres">
      <dgm:prSet presAssocID="{BE27F215-A277-477C-B9B7-D61A96344B4B}" presName="text_5" presStyleLbl="node1" presStyleIdx="4" presStyleCnt="6">
        <dgm:presLayoutVars>
          <dgm:bulletEnabled val="1"/>
        </dgm:presLayoutVars>
      </dgm:prSet>
      <dgm:spPr/>
      <dgm:t>
        <a:bodyPr/>
        <a:lstStyle/>
        <a:p>
          <a:endParaRPr lang="en-US"/>
        </a:p>
      </dgm:t>
    </dgm:pt>
    <dgm:pt modelId="{162DBA35-2584-42F8-809E-559CAE6B38F2}" type="pres">
      <dgm:prSet presAssocID="{BE27F215-A277-477C-B9B7-D61A96344B4B}" presName="accent_5" presStyleCnt="0"/>
      <dgm:spPr/>
    </dgm:pt>
    <dgm:pt modelId="{0F566839-26E8-4FD8-9FEB-BE6C92691621}" type="pres">
      <dgm:prSet presAssocID="{BE27F215-A277-477C-B9B7-D61A96344B4B}" presName="accentRepeatNode" presStyleLbl="solidFgAcc1" presStyleIdx="4" presStyleCnt="6"/>
      <dgm:spPr/>
    </dgm:pt>
    <dgm:pt modelId="{D163E765-942C-44CB-B047-F18678A68E7E}" type="pres">
      <dgm:prSet presAssocID="{C7259D90-8E12-44BD-87A5-DDDFCF2C7445}" presName="text_6" presStyleLbl="node1" presStyleIdx="5" presStyleCnt="6">
        <dgm:presLayoutVars>
          <dgm:bulletEnabled val="1"/>
        </dgm:presLayoutVars>
      </dgm:prSet>
      <dgm:spPr/>
      <dgm:t>
        <a:bodyPr/>
        <a:lstStyle/>
        <a:p>
          <a:endParaRPr lang="en-US"/>
        </a:p>
      </dgm:t>
    </dgm:pt>
    <dgm:pt modelId="{2F00687E-2E88-4DD6-9DAC-50E7CF7F9DEF}" type="pres">
      <dgm:prSet presAssocID="{C7259D90-8E12-44BD-87A5-DDDFCF2C7445}" presName="accent_6" presStyleCnt="0"/>
      <dgm:spPr/>
    </dgm:pt>
    <dgm:pt modelId="{7A82B665-1293-429E-B753-37FFC1D00405}" type="pres">
      <dgm:prSet presAssocID="{C7259D90-8E12-44BD-87A5-DDDFCF2C7445}" presName="accentRepeatNode" presStyleLbl="solidFgAcc1" presStyleIdx="5" presStyleCnt="6"/>
      <dgm:spPr/>
    </dgm:pt>
  </dgm:ptLst>
  <dgm:cxnLst>
    <dgm:cxn modelId="{CA2DAE99-3BB4-48A1-B1A0-DBEFA5943650}" type="presOf" srcId="{BE27F215-A277-477C-B9B7-D61A96344B4B}" destId="{A3124EC9-7CC9-4510-A1F6-136814EEEC12}" srcOrd="0" destOrd="0" presId="urn:microsoft.com/office/officeart/2008/layout/VerticalCurvedList"/>
    <dgm:cxn modelId="{5A4D97A1-09F7-4360-8E37-8F2B4422834F}" srcId="{B65A2967-F726-4DE2-992D-775E89FEE243}" destId="{9E34FEAC-8742-4C0F-9039-AE865567EF64}" srcOrd="0" destOrd="0" parTransId="{5B2DE2F3-4A64-4376-9D13-F189A0635463}" sibTransId="{1D12FA71-6813-45AA-A261-0BD047B41087}"/>
    <dgm:cxn modelId="{9CD886BC-DA7C-4BA8-B37C-9AD9CB30602F}" type="presOf" srcId="{25084F3C-BB88-4D28-8936-383F3FB986DF}" destId="{AB6BDBB3-C297-4E1E-9421-DF980F5013C1}" srcOrd="0" destOrd="0" presId="urn:microsoft.com/office/officeart/2008/layout/VerticalCurvedList"/>
    <dgm:cxn modelId="{DCD561A8-5563-44A8-BD86-6CBE3795B7AB}" type="presOf" srcId="{7C2F6CA3-DC85-402F-89B8-28508B8FB10B}" destId="{DC941765-CE86-4CFB-9F4F-B037FD147D82}" srcOrd="0" destOrd="0" presId="urn:microsoft.com/office/officeart/2008/layout/VerticalCurvedList"/>
    <dgm:cxn modelId="{AC826987-4E9B-42D8-81B3-EB8FF4A004A7}" type="presOf" srcId="{B65A2967-F726-4DE2-992D-775E89FEE243}" destId="{50D97C78-DF9B-44EF-B79B-18FB370ED418}" srcOrd="0" destOrd="0" presId="urn:microsoft.com/office/officeart/2008/layout/VerticalCurvedList"/>
    <dgm:cxn modelId="{82FB49C6-FAA4-49A4-8C05-4364642077E6}" srcId="{B65A2967-F726-4DE2-992D-775E89FEE243}" destId="{5BBBCB18-E39F-4103-9CE5-9D462671DF89}" srcOrd="1" destOrd="0" parTransId="{D9FF2655-F77A-4232-86D3-D6DB3C8AD1E1}" sibTransId="{F4851ECD-0028-402C-A38B-357B246F5341}"/>
    <dgm:cxn modelId="{EA4C4E3F-428C-493E-A643-E423157CBB1C}" srcId="{B65A2967-F726-4DE2-992D-775E89FEE243}" destId="{C7259D90-8E12-44BD-87A5-DDDFCF2C7445}" srcOrd="5" destOrd="0" parTransId="{02C3FACA-AC37-4930-99F9-F40FAB4AC37A}" sibTransId="{3BFA087E-19D3-4686-9541-008943821464}"/>
    <dgm:cxn modelId="{64A58A02-0BF4-4F41-8E07-4EAE82BDE50E}" srcId="{B65A2967-F726-4DE2-992D-775E89FEE243}" destId="{BE27F215-A277-477C-B9B7-D61A96344B4B}" srcOrd="4" destOrd="0" parTransId="{0BFA6E30-CDE7-4231-A8DF-AC32F09B6343}" sibTransId="{9E8F3FC6-B026-475B-AAF7-48C4CA499F88}"/>
    <dgm:cxn modelId="{91F51952-E3AD-4302-A6A6-AE7FC6B88123}" type="presOf" srcId="{C7259D90-8E12-44BD-87A5-DDDFCF2C7445}" destId="{D163E765-942C-44CB-B047-F18678A68E7E}" srcOrd="0" destOrd="0" presId="urn:microsoft.com/office/officeart/2008/layout/VerticalCurvedList"/>
    <dgm:cxn modelId="{8B4C4095-4E75-4750-B0D3-D91C00717704}" type="presOf" srcId="{9E34FEAC-8742-4C0F-9039-AE865567EF64}" destId="{3C349995-E743-40A4-A337-12D1E45C9C83}" srcOrd="0" destOrd="0" presId="urn:microsoft.com/office/officeart/2008/layout/VerticalCurvedList"/>
    <dgm:cxn modelId="{1A246327-6400-414E-B627-312408EAC572}" type="presOf" srcId="{5BBBCB18-E39F-4103-9CE5-9D462671DF89}" destId="{5DDB9E25-78F1-49FB-B1E9-12CBBA705986}" srcOrd="0" destOrd="0" presId="urn:microsoft.com/office/officeart/2008/layout/VerticalCurvedList"/>
    <dgm:cxn modelId="{9EE3DEC0-D061-4443-8CED-FDD2CD3AB869}" srcId="{B65A2967-F726-4DE2-992D-775E89FEE243}" destId="{25084F3C-BB88-4D28-8936-383F3FB986DF}" srcOrd="2" destOrd="0" parTransId="{EF573C9C-9F20-46F5-AF12-D272EF3EBA73}" sibTransId="{42D001F1-87A2-4841-B638-C91180FB9B26}"/>
    <dgm:cxn modelId="{BA0B07F8-F1F8-488B-86C2-878CAA7270E8}" type="presOf" srcId="{1D12FA71-6813-45AA-A261-0BD047B41087}" destId="{E8A469D3-95A5-4E76-9A85-F3716934B2B4}" srcOrd="0" destOrd="0" presId="urn:microsoft.com/office/officeart/2008/layout/VerticalCurvedList"/>
    <dgm:cxn modelId="{F0F85ACA-2702-4AFF-8391-F68D26E24561}" srcId="{B65A2967-F726-4DE2-992D-775E89FEE243}" destId="{7C2F6CA3-DC85-402F-89B8-28508B8FB10B}" srcOrd="3" destOrd="0" parTransId="{0CF0E961-8D7D-422F-A10A-929866D988EF}" sibTransId="{0E2A90E8-366B-45A7-A2B2-B0F3B0EFB716}"/>
    <dgm:cxn modelId="{B1B85EAF-C018-4916-A8CD-9BE7E66E042D}" type="presParOf" srcId="{50D97C78-DF9B-44EF-B79B-18FB370ED418}" destId="{26305412-039C-4166-8C30-8057321EF1FA}" srcOrd="0" destOrd="0" presId="urn:microsoft.com/office/officeart/2008/layout/VerticalCurvedList"/>
    <dgm:cxn modelId="{026C91D5-FC39-4590-A39B-CFC85409C67A}" type="presParOf" srcId="{26305412-039C-4166-8C30-8057321EF1FA}" destId="{427251C1-3D4B-4680-989F-925A76F4C7E1}" srcOrd="0" destOrd="0" presId="urn:microsoft.com/office/officeart/2008/layout/VerticalCurvedList"/>
    <dgm:cxn modelId="{0112AC76-BDC7-4891-BBF5-8B0E067CFFE4}" type="presParOf" srcId="{427251C1-3D4B-4680-989F-925A76F4C7E1}" destId="{F281B917-B17D-47D9-838D-354D1058F777}" srcOrd="0" destOrd="0" presId="urn:microsoft.com/office/officeart/2008/layout/VerticalCurvedList"/>
    <dgm:cxn modelId="{51963C91-4971-4201-A11A-A247DC71E490}" type="presParOf" srcId="{427251C1-3D4B-4680-989F-925A76F4C7E1}" destId="{E8A469D3-95A5-4E76-9A85-F3716934B2B4}" srcOrd="1" destOrd="0" presId="urn:microsoft.com/office/officeart/2008/layout/VerticalCurvedList"/>
    <dgm:cxn modelId="{04E12B78-E885-4DEB-9D24-0192843DCDD3}" type="presParOf" srcId="{427251C1-3D4B-4680-989F-925A76F4C7E1}" destId="{A20E8E54-5FF2-4571-85B0-39116690FDD6}" srcOrd="2" destOrd="0" presId="urn:microsoft.com/office/officeart/2008/layout/VerticalCurvedList"/>
    <dgm:cxn modelId="{D893749B-9383-47D8-AFAD-20D19C0708C8}" type="presParOf" srcId="{427251C1-3D4B-4680-989F-925A76F4C7E1}" destId="{766D8DEB-AFF6-4C6D-95DA-41F79DDF5222}" srcOrd="3" destOrd="0" presId="urn:microsoft.com/office/officeart/2008/layout/VerticalCurvedList"/>
    <dgm:cxn modelId="{5B2766B0-94E0-4C92-B76A-19D5194B6F6B}" type="presParOf" srcId="{26305412-039C-4166-8C30-8057321EF1FA}" destId="{3C349995-E743-40A4-A337-12D1E45C9C83}" srcOrd="1" destOrd="0" presId="urn:microsoft.com/office/officeart/2008/layout/VerticalCurvedList"/>
    <dgm:cxn modelId="{A0611B52-1814-4C6F-89E3-CEBA194AA142}" type="presParOf" srcId="{26305412-039C-4166-8C30-8057321EF1FA}" destId="{12D5D911-00FE-4908-8353-EA42931DC190}" srcOrd="2" destOrd="0" presId="urn:microsoft.com/office/officeart/2008/layout/VerticalCurvedList"/>
    <dgm:cxn modelId="{93326FE8-396F-4459-81CA-CFB98CA7CBDC}" type="presParOf" srcId="{12D5D911-00FE-4908-8353-EA42931DC190}" destId="{3F889F68-A909-4CF3-A8A2-FB879628FADB}" srcOrd="0" destOrd="0" presId="urn:microsoft.com/office/officeart/2008/layout/VerticalCurvedList"/>
    <dgm:cxn modelId="{E3AE99E7-FDCD-459A-B954-2D03D6C56940}" type="presParOf" srcId="{26305412-039C-4166-8C30-8057321EF1FA}" destId="{5DDB9E25-78F1-49FB-B1E9-12CBBA705986}" srcOrd="3" destOrd="0" presId="urn:microsoft.com/office/officeart/2008/layout/VerticalCurvedList"/>
    <dgm:cxn modelId="{6CF222F6-FC85-494C-821F-7C620C5F9FF4}" type="presParOf" srcId="{26305412-039C-4166-8C30-8057321EF1FA}" destId="{F09BE230-1F05-4E89-B8EF-8C13CC3912D9}" srcOrd="4" destOrd="0" presId="urn:microsoft.com/office/officeart/2008/layout/VerticalCurvedList"/>
    <dgm:cxn modelId="{AAD14BAB-D6DD-424A-8B79-32BA39EF8F8E}" type="presParOf" srcId="{F09BE230-1F05-4E89-B8EF-8C13CC3912D9}" destId="{F1F2CFE4-7FB7-4F97-9939-CC4E932CC90E}" srcOrd="0" destOrd="0" presId="urn:microsoft.com/office/officeart/2008/layout/VerticalCurvedList"/>
    <dgm:cxn modelId="{D83ED9C2-8B7F-4054-90FB-E00C60014035}" type="presParOf" srcId="{26305412-039C-4166-8C30-8057321EF1FA}" destId="{AB6BDBB3-C297-4E1E-9421-DF980F5013C1}" srcOrd="5" destOrd="0" presId="urn:microsoft.com/office/officeart/2008/layout/VerticalCurvedList"/>
    <dgm:cxn modelId="{6FEE21B3-FE37-4364-ADEB-35DE6C1187C3}" type="presParOf" srcId="{26305412-039C-4166-8C30-8057321EF1FA}" destId="{2D396ABC-CEC1-41EC-AADA-67060DCB20EF}" srcOrd="6" destOrd="0" presId="urn:microsoft.com/office/officeart/2008/layout/VerticalCurvedList"/>
    <dgm:cxn modelId="{D7F954F4-E97F-4973-A327-18D9C98EAEA3}" type="presParOf" srcId="{2D396ABC-CEC1-41EC-AADA-67060DCB20EF}" destId="{7811965F-224A-4607-A046-6A29F73BC20B}" srcOrd="0" destOrd="0" presId="urn:microsoft.com/office/officeart/2008/layout/VerticalCurvedList"/>
    <dgm:cxn modelId="{96A281F3-1311-4F6D-96EB-D436604AAA1B}" type="presParOf" srcId="{26305412-039C-4166-8C30-8057321EF1FA}" destId="{DC941765-CE86-4CFB-9F4F-B037FD147D82}" srcOrd="7" destOrd="0" presId="urn:microsoft.com/office/officeart/2008/layout/VerticalCurvedList"/>
    <dgm:cxn modelId="{C9CBAC03-A377-475D-893A-B58845592C80}" type="presParOf" srcId="{26305412-039C-4166-8C30-8057321EF1FA}" destId="{206425E7-ECAD-4486-AA74-8A04E575B696}" srcOrd="8" destOrd="0" presId="urn:microsoft.com/office/officeart/2008/layout/VerticalCurvedList"/>
    <dgm:cxn modelId="{66799583-4FFD-47E3-BB23-F7659E75FD89}" type="presParOf" srcId="{206425E7-ECAD-4486-AA74-8A04E575B696}" destId="{F532C87F-1DD4-427A-AB0C-430A24F57684}" srcOrd="0" destOrd="0" presId="urn:microsoft.com/office/officeart/2008/layout/VerticalCurvedList"/>
    <dgm:cxn modelId="{E38E78E4-5B33-4070-BB07-D7BB007CB554}" type="presParOf" srcId="{26305412-039C-4166-8C30-8057321EF1FA}" destId="{A3124EC9-7CC9-4510-A1F6-136814EEEC12}" srcOrd="9" destOrd="0" presId="urn:microsoft.com/office/officeart/2008/layout/VerticalCurvedList"/>
    <dgm:cxn modelId="{0C7D5399-950A-465C-844B-CE1D40827DD6}" type="presParOf" srcId="{26305412-039C-4166-8C30-8057321EF1FA}" destId="{162DBA35-2584-42F8-809E-559CAE6B38F2}" srcOrd="10" destOrd="0" presId="urn:microsoft.com/office/officeart/2008/layout/VerticalCurvedList"/>
    <dgm:cxn modelId="{F9D2B731-BEAB-435E-AA58-3A40F134DB2A}" type="presParOf" srcId="{162DBA35-2584-42F8-809E-559CAE6B38F2}" destId="{0F566839-26E8-4FD8-9FEB-BE6C92691621}" srcOrd="0" destOrd="0" presId="urn:microsoft.com/office/officeart/2008/layout/VerticalCurvedList"/>
    <dgm:cxn modelId="{61314C77-0583-4CBE-B08E-1EA7D3FEC947}" type="presParOf" srcId="{26305412-039C-4166-8C30-8057321EF1FA}" destId="{D163E765-942C-44CB-B047-F18678A68E7E}" srcOrd="11" destOrd="0" presId="urn:microsoft.com/office/officeart/2008/layout/VerticalCurvedList"/>
    <dgm:cxn modelId="{8E1ED9E9-A3F8-499E-B779-D6340C940C2F}" type="presParOf" srcId="{26305412-039C-4166-8C30-8057321EF1FA}" destId="{2F00687E-2E88-4DD6-9DAC-50E7CF7F9DEF}" srcOrd="12" destOrd="0" presId="urn:microsoft.com/office/officeart/2008/layout/VerticalCurvedList"/>
    <dgm:cxn modelId="{6A993519-48CA-42ED-A2AF-98C35BCEC2C9}" type="presParOf" srcId="{2F00687E-2E88-4DD6-9DAC-50E7CF7F9DEF}" destId="{7A82B665-1293-429E-B753-37FFC1D00405}" srcOrd="0" destOrd="0" presId="urn:microsoft.com/office/officeart/2008/layout/VerticalCurvedLis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A469D3-95A5-4E76-9A85-F3716934B2B4}">
      <dsp:nvSpPr>
        <dsp:cNvPr id="0" name=""/>
        <dsp:cNvSpPr/>
      </dsp:nvSpPr>
      <dsp:spPr>
        <a:xfrm>
          <a:off x="-3825618" y="-587542"/>
          <a:ext cx="4559635" cy="4559635"/>
        </a:xfrm>
        <a:prstGeom prst="blockArc">
          <a:avLst>
            <a:gd name="adj1" fmla="val 18900000"/>
            <a:gd name="adj2" fmla="val 2700000"/>
            <a:gd name="adj3" fmla="val 474"/>
          </a:avLst>
        </a:pr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349995-E743-40A4-A337-12D1E45C9C83}">
      <dsp:nvSpPr>
        <dsp:cNvPr id="0" name=""/>
        <dsp:cNvSpPr/>
      </dsp:nvSpPr>
      <dsp:spPr>
        <a:xfrm>
          <a:off x="274707" y="178230"/>
          <a:ext cx="8415261" cy="3563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2833" tIns="33020" rIns="33020" bIns="33020" numCol="1" spcCol="1270" anchor="ctr" anchorCtr="0">
          <a:noAutofit/>
        </a:bodyPr>
        <a:lstStyle/>
        <a:p>
          <a:pPr lvl="0" algn="l" defTabSz="577850">
            <a:lnSpc>
              <a:spcPct val="90000"/>
            </a:lnSpc>
            <a:spcBef>
              <a:spcPct val="0"/>
            </a:spcBef>
            <a:spcAft>
              <a:spcPct val="35000"/>
            </a:spcAft>
          </a:pPr>
          <a:r>
            <a:rPr lang="en-GB" sz="1300" b="0" i="0" kern="1200" dirty="0" smtClean="0"/>
            <a:t>A system that provides flexible and </a:t>
          </a:r>
          <a:r>
            <a:rPr lang="en-GB" sz="1300" b="1" i="0" kern="1200" dirty="0" smtClean="0"/>
            <a:t>person-centred support;</a:t>
          </a:r>
          <a:endParaRPr lang="en-US" sz="1300" kern="1200" dirty="0"/>
        </a:p>
      </dsp:txBody>
      <dsp:txXfrm>
        <a:off x="274707" y="178230"/>
        <a:ext cx="8415261" cy="356325"/>
      </dsp:txXfrm>
    </dsp:sp>
    <dsp:sp modelId="{3F889F68-A909-4CF3-A8A2-FB879628FADB}">
      <dsp:nvSpPr>
        <dsp:cNvPr id="0" name=""/>
        <dsp:cNvSpPr/>
      </dsp:nvSpPr>
      <dsp:spPr>
        <a:xfrm>
          <a:off x="52004" y="133689"/>
          <a:ext cx="445406" cy="445406"/>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DDB9E25-78F1-49FB-B1E9-12CBBA705986}">
      <dsp:nvSpPr>
        <dsp:cNvPr id="0" name=""/>
        <dsp:cNvSpPr/>
      </dsp:nvSpPr>
      <dsp:spPr>
        <a:xfrm>
          <a:off x="576581" y="703856"/>
          <a:ext cx="8122159" cy="3563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2833" tIns="33020" rIns="33020" bIns="33020" numCol="1" spcCol="1270" anchor="ctr" anchorCtr="0">
          <a:noAutofit/>
        </a:bodyPr>
        <a:lstStyle/>
        <a:p>
          <a:pPr lvl="0" algn="l" defTabSz="577850">
            <a:lnSpc>
              <a:spcPct val="90000"/>
            </a:lnSpc>
            <a:spcBef>
              <a:spcPct val="0"/>
            </a:spcBef>
            <a:spcAft>
              <a:spcPct val="35000"/>
            </a:spcAft>
          </a:pPr>
          <a:r>
            <a:rPr lang="en-US" sz="1300" kern="1200" dirty="0" smtClean="0"/>
            <a:t>i</a:t>
          </a:r>
          <a:r>
            <a:rPr lang="en-GB" sz="1300" b="0" i="0" kern="1200" dirty="0" smtClean="0"/>
            <a:t>s more </a:t>
          </a:r>
          <a:r>
            <a:rPr lang="en-GB" sz="1300" b="1" i="0" kern="1200" dirty="0" smtClean="0"/>
            <a:t>straightforward</a:t>
          </a:r>
          <a:r>
            <a:rPr lang="en-GB" sz="1300" b="0" i="0" kern="1200" dirty="0" smtClean="0"/>
            <a:t> for people to navigate;</a:t>
          </a:r>
          <a:endParaRPr lang="en-US" sz="1300" kern="1200" dirty="0"/>
        </a:p>
      </dsp:txBody>
      <dsp:txXfrm>
        <a:off x="576581" y="703856"/>
        <a:ext cx="8122159" cy="356325"/>
      </dsp:txXfrm>
    </dsp:sp>
    <dsp:sp modelId="{F1F2CFE4-7FB7-4F97-9939-CC4E932CC90E}">
      <dsp:nvSpPr>
        <dsp:cNvPr id="0" name=""/>
        <dsp:cNvSpPr/>
      </dsp:nvSpPr>
      <dsp:spPr>
        <a:xfrm>
          <a:off x="345106" y="668110"/>
          <a:ext cx="445406" cy="445406"/>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B6BDBB3-C297-4E1E-9421-DF980F5013C1}">
      <dsp:nvSpPr>
        <dsp:cNvPr id="0" name=""/>
        <dsp:cNvSpPr/>
      </dsp:nvSpPr>
      <dsp:spPr>
        <a:xfrm>
          <a:off x="701837" y="1247071"/>
          <a:ext cx="7988131" cy="3563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2833" tIns="33020" rIns="33020" bIns="33020" numCol="1" spcCol="1270" anchor="ctr" anchorCtr="0">
          <a:noAutofit/>
        </a:bodyPr>
        <a:lstStyle/>
        <a:p>
          <a:pPr lvl="0" algn="l" defTabSz="577850">
            <a:lnSpc>
              <a:spcPct val="90000"/>
            </a:lnSpc>
            <a:spcBef>
              <a:spcPct val="0"/>
            </a:spcBef>
            <a:spcAft>
              <a:spcPct val="35000"/>
            </a:spcAft>
          </a:pPr>
          <a:r>
            <a:rPr lang="en-GB" sz="1300" b="0" i="0" kern="1200" dirty="0" smtClean="0"/>
            <a:t>is better </a:t>
          </a:r>
          <a:r>
            <a:rPr lang="en-GB" sz="1300" b="1" i="0" kern="1200" dirty="0" smtClean="0"/>
            <a:t>integrated and aligned</a:t>
          </a:r>
          <a:r>
            <a:rPr lang="en-GB" sz="1300" b="0" i="0" kern="1200" dirty="0" smtClean="0"/>
            <a:t> with other services, in particular, although not exclusively with health provision;</a:t>
          </a:r>
          <a:endParaRPr lang="en-US" sz="1300" kern="1200" dirty="0"/>
        </a:p>
      </dsp:txBody>
      <dsp:txXfrm>
        <a:off x="701837" y="1247071"/>
        <a:ext cx="7988131" cy="356325"/>
      </dsp:txXfrm>
    </dsp:sp>
    <dsp:sp modelId="{7811965F-224A-4607-A046-6A29F73BC20B}">
      <dsp:nvSpPr>
        <dsp:cNvPr id="0" name=""/>
        <dsp:cNvSpPr/>
      </dsp:nvSpPr>
      <dsp:spPr>
        <a:xfrm>
          <a:off x="479134" y="1202530"/>
          <a:ext cx="445406" cy="445406"/>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C941765-CE86-4CFB-9F4F-B037FD147D82}">
      <dsp:nvSpPr>
        <dsp:cNvPr id="0" name=""/>
        <dsp:cNvSpPr/>
      </dsp:nvSpPr>
      <dsp:spPr>
        <a:xfrm>
          <a:off x="701837" y="1781153"/>
          <a:ext cx="7988131" cy="3563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2833" tIns="33020" rIns="33020" bIns="33020" numCol="1" spcCol="1270" anchor="ctr" anchorCtr="0">
          <a:noAutofit/>
        </a:bodyPr>
        <a:lstStyle/>
        <a:p>
          <a:pPr lvl="0" algn="l" defTabSz="577850">
            <a:lnSpc>
              <a:spcPct val="90000"/>
            </a:lnSpc>
            <a:spcBef>
              <a:spcPct val="0"/>
            </a:spcBef>
            <a:spcAft>
              <a:spcPct val="35000"/>
            </a:spcAft>
          </a:pPr>
          <a:r>
            <a:rPr lang="en-GB" sz="1300" b="0" i="0" kern="1200" dirty="0" smtClean="0"/>
            <a:t>provides pathways into </a:t>
          </a:r>
          <a:r>
            <a:rPr lang="en-GB" sz="1300" b="1" i="0" kern="1200" dirty="0" smtClean="0"/>
            <a:t>sustainable and fair work;</a:t>
          </a:r>
          <a:endParaRPr lang="en-US" sz="1300" kern="1200" dirty="0"/>
        </a:p>
      </dsp:txBody>
      <dsp:txXfrm>
        <a:off x="701837" y="1781153"/>
        <a:ext cx="7988131" cy="356325"/>
      </dsp:txXfrm>
    </dsp:sp>
    <dsp:sp modelId="{F532C87F-1DD4-427A-AB0C-430A24F57684}">
      <dsp:nvSpPr>
        <dsp:cNvPr id="0" name=""/>
        <dsp:cNvSpPr/>
      </dsp:nvSpPr>
      <dsp:spPr>
        <a:xfrm>
          <a:off x="479134" y="1736612"/>
          <a:ext cx="445406" cy="445406"/>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3124EC9-7CC9-4510-A1F6-136814EEEC12}">
      <dsp:nvSpPr>
        <dsp:cNvPr id="0" name=""/>
        <dsp:cNvSpPr/>
      </dsp:nvSpPr>
      <dsp:spPr>
        <a:xfrm>
          <a:off x="567809" y="2315573"/>
          <a:ext cx="8122159" cy="3563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2833" tIns="33020" rIns="33020" bIns="33020" numCol="1" spcCol="1270" anchor="ctr" anchorCtr="0">
          <a:noAutofit/>
        </a:bodyPr>
        <a:lstStyle/>
        <a:p>
          <a:pPr lvl="0" algn="l" defTabSz="577850">
            <a:lnSpc>
              <a:spcPct val="90000"/>
            </a:lnSpc>
            <a:spcBef>
              <a:spcPct val="0"/>
            </a:spcBef>
            <a:spcAft>
              <a:spcPct val="35000"/>
            </a:spcAft>
          </a:pPr>
          <a:r>
            <a:rPr lang="en-GB" sz="1300" b="0" i="0" kern="1200" dirty="0" smtClean="0"/>
            <a:t>is </a:t>
          </a:r>
          <a:r>
            <a:rPr lang="en-GB" sz="1300" b="1" i="0" kern="1200" dirty="0" smtClean="0"/>
            <a:t>driven by evidence</a:t>
          </a:r>
          <a:r>
            <a:rPr lang="en-GB" sz="1300" b="0" i="0" kern="1200" dirty="0" smtClean="0"/>
            <a:t>, including data and the experience of users; and</a:t>
          </a:r>
          <a:endParaRPr lang="en-US" sz="1300" kern="1200" dirty="0"/>
        </a:p>
      </dsp:txBody>
      <dsp:txXfrm>
        <a:off x="567809" y="2315573"/>
        <a:ext cx="8122159" cy="356325"/>
      </dsp:txXfrm>
    </dsp:sp>
    <dsp:sp modelId="{0F566839-26E8-4FD8-9FEB-BE6C92691621}">
      <dsp:nvSpPr>
        <dsp:cNvPr id="0" name=""/>
        <dsp:cNvSpPr/>
      </dsp:nvSpPr>
      <dsp:spPr>
        <a:xfrm>
          <a:off x="345106" y="2271033"/>
          <a:ext cx="445406" cy="445406"/>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163E765-942C-44CB-B047-F18678A68E7E}">
      <dsp:nvSpPr>
        <dsp:cNvPr id="0" name=""/>
        <dsp:cNvSpPr/>
      </dsp:nvSpPr>
      <dsp:spPr>
        <a:xfrm>
          <a:off x="274707" y="2849994"/>
          <a:ext cx="8415261" cy="356325"/>
        </a:xfrm>
        <a:prstGeom prst="rect">
          <a:avLst/>
        </a:prstGeom>
        <a:solidFill>
          <a:schemeClr val="dk2">
            <a:hueOff val="0"/>
            <a:satOff val="0"/>
            <a:lumOff val="0"/>
            <a:alphaOff val="0"/>
          </a:schemeClr>
        </a:solidFill>
        <a:ln w="12700" cap="flat" cmpd="sng" algn="ctr">
          <a:solidFill>
            <a:schemeClr val="l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2833" tIns="33020" rIns="33020" bIns="33020" numCol="1" spcCol="1270" anchor="ctr" anchorCtr="0">
          <a:noAutofit/>
        </a:bodyPr>
        <a:lstStyle/>
        <a:p>
          <a:pPr lvl="0" algn="l" defTabSz="577850">
            <a:lnSpc>
              <a:spcPct val="90000"/>
            </a:lnSpc>
            <a:spcBef>
              <a:spcPct val="0"/>
            </a:spcBef>
            <a:spcAft>
              <a:spcPct val="35000"/>
            </a:spcAft>
          </a:pPr>
          <a:r>
            <a:rPr lang="en-GB" sz="1300" b="0" i="0" kern="1200" smtClean="0"/>
            <a:t>that supports more people – particularly those facing multiple barriers – to move into the </a:t>
          </a:r>
          <a:r>
            <a:rPr lang="en-GB" sz="1300" b="1" i="0" kern="1200" smtClean="0"/>
            <a:t>right job, at the right time</a:t>
          </a:r>
          <a:endParaRPr lang="en-US" sz="1300" kern="1200" dirty="0"/>
        </a:p>
      </dsp:txBody>
      <dsp:txXfrm>
        <a:off x="274707" y="2849994"/>
        <a:ext cx="8415261" cy="356325"/>
      </dsp:txXfrm>
    </dsp:sp>
    <dsp:sp modelId="{7A82B665-1293-429E-B753-37FFC1D00405}">
      <dsp:nvSpPr>
        <dsp:cNvPr id="0" name=""/>
        <dsp:cNvSpPr/>
      </dsp:nvSpPr>
      <dsp:spPr>
        <a:xfrm>
          <a:off x="52004" y="2805453"/>
          <a:ext cx="445406" cy="445406"/>
        </a:xfrm>
        <a:prstGeom prst="ellipse">
          <a:avLst/>
        </a:prstGeom>
        <a:solidFill>
          <a:schemeClr val="lt2">
            <a:hueOff val="0"/>
            <a:satOff val="0"/>
            <a:lumOff val="0"/>
            <a:alphaOff val="0"/>
          </a:schemeClr>
        </a:solidFill>
        <a:ln w="12700" cap="flat" cmpd="sng" algn="ctr">
          <a:solidFill>
            <a:schemeClr val="dk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A34559363</value>
    </field>
    <field name="Objective-Title">
      <value order="0">Publication - Employability Service Standards</value>
    </field>
    <field name="Objective-Description">
      <value order="0"/>
    </field>
    <field name="Objective-CreationStamp">
      <value order="0">2021-09-06T15:31:26Z</value>
    </field>
    <field name="Objective-IsApproved">
      <value order="0">false</value>
    </field>
    <field name="Objective-IsPublished">
      <value order="0">false</value>
    </field>
    <field name="Objective-DatePublished">
      <value order="0"/>
    </field>
    <field name="Objective-ModificationStamp">
      <value order="0">2022-05-19T07:27:58Z</value>
    </field>
    <field name="Objective-Owner">
      <value order="0">O'Hanlon, Christopher C (U442397)</value>
    </field>
    <field name="Objective-Path">
      <value order="0">Objective Global Folder:SG File Plan:Education, careers and employment:Unemployment and jobseeking:General:Advice and policy: Unemployment and jobseeking - general:Employability Division - No One Left Behind - Phase 2 - Workstream - Service Design: 2019-2024</value>
    </field>
    <field name="Objective-Parent">
      <value order="0">Employability Division - No One Left Behind - Phase 2 - Workstream - Service Design: 2019-2024</value>
    </field>
    <field name="Objective-State">
      <value order="0">Being Edited</value>
    </field>
    <field name="Objective-VersionId">
      <value order="0">vA56426404</value>
    </field>
    <field name="Objective-Version">
      <value order="0">6.2</value>
    </field>
    <field name="Objective-VersionNumber">
      <value order="0">54</value>
    </field>
    <field name="Objective-VersionComment">
      <value order="0"/>
    </field>
    <field name="Objective-FileNumber">
      <value order="0">PROJ/32093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75996C06-844A-4C08-9530-28F3795AB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7122</TotalTime>
  <Pages>1</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Employability SERVICE STANDARDS</vt:lpstr>
    </vt:vector>
  </TitlesOfParts>
  <Company>Scottish Government</Company>
  <LinksUpToDate>false</LinksUpToDate>
  <CharactersWithSpaces>30066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Employability SERVICE STANDARDS</dc:title>
  <dc:subject/>
  <dc:creator>O'Hanlon C (Christopher)</dc:creator>
  <cp:keywords/>
  <dc:description/>
  <cp:lastModifiedBy>Sullivan T (Trudi)</cp:lastModifiedBy>
  <cp:revision>60</cp:revision>
  <dcterms:created xsi:type="dcterms:W3CDTF">2021-07-16T06:58:00Z</dcterms:created>
  <dcterms:modified xsi:type="dcterms:W3CDTF">2022-05-19T07:30:00Z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A34559363</vt:lpwstr>
  </property>
  <property fmtid="{D5CDD505-2E9C-101B-9397-08002B2CF9AE}" pid="4" name="Objective-Title">
    <vt:lpwstr>Publication - Employability Service Standards</vt:lpwstr>
  </property>
  <property fmtid="{D5CDD505-2E9C-101B-9397-08002B2CF9AE}" pid="5" name="Objective-Description">
    <vt:lpwstr/>
  </property>
  <property fmtid="{D5CDD505-2E9C-101B-9397-08002B2CF9AE}" pid="6" name="Objective-CreationStamp">
    <vt:filetime>2021-09-06T15:31:26Z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2022-05-19T07:27:58Z</vt:filetime>
  </property>
  <property fmtid="{D5CDD505-2E9C-101B-9397-08002B2CF9AE}" pid="11" name="Objective-Owner">
    <vt:lpwstr>O'Hanlon, Christopher C (U442397)</vt:lpwstr>
  </property>
  <property fmtid="{D5CDD505-2E9C-101B-9397-08002B2CF9AE}" pid="12" name="Objective-Path">
    <vt:lpwstr>Objective Global Folder:SG File Plan:Education, careers and employment:Unemployment and jobseeking:General:Advice and policy: Unemployment and jobseeking - general:Employability Division - No One Left Behind - Phase 2 - Workstream - Service Design: 2019-2</vt:lpwstr>
  </property>
  <property fmtid="{D5CDD505-2E9C-101B-9397-08002B2CF9AE}" pid="13" name="Objective-Parent">
    <vt:lpwstr>Employability Division - No One Left Behind - Phase 2 - Workstream - Service Design: 2019-2024</vt:lpwstr>
  </property>
  <property fmtid="{D5CDD505-2E9C-101B-9397-08002B2CF9AE}" pid="14" name="Objective-State">
    <vt:lpwstr>Being Edited</vt:lpwstr>
  </property>
  <property fmtid="{D5CDD505-2E9C-101B-9397-08002B2CF9AE}" pid="15" name="Objective-VersionId">
    <vt:lpwstr>vA56426404</vt:lpwstr>
  </property>
  <property fmtid="{D5CDD505-2E9C-101B-9397-08002B2CF9AE}" pid="16" name="Objective-Version">
    <vt:lpwstr>6.2</vt:lpwstr>
  </property>
  <property fmtid="{D5CDD505-2E9C-101B-9397-08002B2CF9AE}" pid="17" name="Objective-VersionNumber">
    <vt:r8>54</vt:r8>
  </property>
  <property fmtid="{D5CDD505-2E9C-101B-9397-08002B2CF9AE}" pid="18" name="Objective-VersionComment">
    <vt:lpwstr/>
  </property>
  <property fmtid="{D5CDD505-2E9C-101B-9397-08002B2CF9AE}" pid="19" name="Objective-FileNumber">
    <vt:lpwstr>PROJ/32093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